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1B61" w14:textId="77777777" w:rsidR="00F11DE3" w:rsidRDefault="00F11DE3" w:rsidP="00727598">
      <w:pPr>
        <w:pStyle w:val="StandardersteSeite"/>
      </w:pPr>
      <w:bookmarkStart w:id="0" w:name="_Toc168385914"/>
      <w:bookmarkStart w:id="1" w:name="_Toc120009276"/>
      <w:bookmarkStart w:id="2" w:name="_Toc158022839"/>
      <w:bookmarkStart w:id="3" w:name="_Toc158022859"/>
      <w:bookmarkStart w:id="4" w:name="_Toc168385915"/>
    </w:p>
    <w:p w14:paraId="454A6291" w14:textId="77777777" w:rsidR="00F11DE3" w:rsidRDefault="00F11DE3" w:rsidP="00727598">
      <w:pPr>
        <w:pStyle w:val="StandardersteSeite"/>
      </w:pPr>
    </w:p>
    <w:p w14:paraId="692AE71B" w14:textId="1DAEE1FC" w:rsidR="007E4B1E" w:rsidRPr="007E4B1E" w:rsidRDefault="001938FA" w:rsidP="00085E02">
      <w:pPr>
        <w:pStyle w:val="StandardersteSeite"/>
        <w:jc w:val="both"/>
        <w:rPr>
          <w:szCs w:val="20"/>
        </w:rPr>
      </w:pPr>
      <w:r>
        <w:rPr>
          <w:szCs w:val="20"/>
        </w:rPr>
        <w:t>Sehr geehrte Damen und Herren,</w:t>
      </w:r>
    </w:p>
    <w:p w14:paraId="1FD97857" w14:textId="77777777" w:rsidR="008D7573" w:rsidRPr="00DF3126" w:rsidRDefault="008D7573" w:rsidP="00085E02">
      <w:pPr>
        <w:pStyle w:val="StandardersteSeite"/>
        <w:jc w:val="both"/>
        <w:rPr>
          <w:sz w:val="19"/>
          <w:szCs w:val="19"/>
        </w:rPr>
      </w:pPr>
      <w:bookmarkStart w:id="5" w:name="_Hlk169612746"/>
      <w:bookmarkStart w:id="6" w:name="_Hlk169625971"/>
      <w:bookmarkStart w:id="7" w:name="_Hlk162010393"/>
      <w:bookmarkEnd w:id="0"/>
      <w:bookmarkEnd w:id="1"/>
      <w:bookmarkEnd w:id="2"/>
      <w:bookmarkEnd w:id="3"/>
      <w:bookmarkEnd w:id="4"/>
      <w:r w:rsidRPr="00DF3126">
        <w:rPr>
          <w:sz w:val="19"/>
          <w:szCs w:val="19"/>
        </w:rPr>
        <w:t>der Bundesfinanzhof hatte sich mit der steuerlichen Auswirkung von abgeschlossenen Vereinbarungen über die Gewährung von Pensionszusagen an Gesellschafter-Geschäftsführer einer GmbH zu befassen und hat mit seiner Entscheidung zwei wesentliche Bereiche auf diesem Rechtsgebiet dem Grunde nach geklärt.</w:t>
      </w:r>
    </w:p>
    <w:p w14:paraId="74EA5BE6" w14:textId="77777777" w:rsidR="008D7573" w:rsidRPr="00DF3126" w:rsidRDefault="008D7573" w:rsidP="00085E02">
      <w:pPr>
        <w:pStyle w:val="StandardersteSeite"/>
        <w:jc w:val="both"/>
        <w:rPr>
          <w:sz w:val="19"/>
          <w:szCs w:val="19"/>
        </w:rPr>
      </w:pPr>
      <w:r>
        <w:rPr>
          <w:sz w:val="19"/>
          <w:szCs w:val="19"/>
        </w:rPr>
        <w:t>V</w:t>
      </w:r>
      <w:r w:rsidRPr="00DF3126">
        <w:rPr>
          <w:sz w:val="19"/>
          <w:szCs w:val="19"/>
        </w:rPr>
        <w:t>erdeckte Gewinnausschüttung</w:t>
      </w:r>
      <w:r>
        <w:rPr>
          <w:sz w:val="19"/>
          <w:szCs w:val="19"/>
        </w:rPr>
        <w:t>en</w:t>
      </w:r>
      <w:r w:rsidRPr="00DF3126">
        <w:rPr>
          <w:sz w:val="19"/>
          <w:szCs w:val="19"/>
        </w:rPr>
        <w:t xml:space="preserve"> beschäftig</w:t>
      </w:r>
      <w:r>
        <w:rPr>
          <w:sz w:val="19"/>
          <w:szCs w:val="19"/>
        </w:rPr>
        <w:t>en</w:t>
      </w:r>
      <w:r w:rsidRPr="00DF3126">
        <w:rPr>
          <w:sz w:val="19"/>
          <w:szCs w:val="19"/>
        </w:rPr>
        <w:t xml:space="preserve"> die Finanzgerichte nach wie vor ständig. Das Finanzgericht Düsseldorf hat aktuell entschieden, dass wenn ein mittelbar beteiligter Gesellschafter einer GmbH ein Vorkaufsrecht für ein im Ausland gelegenes Grundstück entgeltlich einräumt, an dessen Nutzung die GmbH kein betriebliches Interesse hat, das Entgelt eine verdeckte Gewinnausschüttung dar</w:t>
      </w:r>
      <w:r>
        <w:rPr>
          <w:sz w:val="19"/>
          <w:szCs w:val="19"/>
        </w:rPr>
        <w:t>stellt</w:t>
      </w:r>
      <w:r w:rsidRPr="00DF3126">
        <w:rPr>
          <w:sz w:val="19"/>
          <w:szCs w:val="19"/>
        </w:rPr>
        <w:t>.</w:t>
      </w:r>
    </w:p>
    <w:p w14:paraId="5DD46C88" w14:textId="77777777" w:rsidR="008D7573" w:rsidRPr="00DF3126" w:rsidRDefault="008D7573" w:rsidP="00085E02">
      <w:pPr>
        <w:pStyle w:val="StandardersteSeite"/>
        <w:jc w:val="both"/>
        <w:rPr>
          <w:sz w:val="19"/>
          <w:szCs w:val="19"/>
        </w:rPr>
      </w:pPr>
      <w:r w:rsidRPr="00DF3126">
        <w:rPr>
          <w:sz w:val="19"/>
          <w:szCs w:val="19"/>
        </w:rPr>
        <w:t>Auch zu Gewinnen und Verlusten aus Photovoltaik-Anlagen entstehen immer wieder Fragen</w:t>
      </w:r>
      <w:r>
        <w:rPr>
          <w:sz w:val="19"/>
          <w:szCs w:val="19"/>
        </w:rPr>
        <w:t>, mit denen sich</w:t>
      </w:r>
      <w:r w:rsidRPr="00DF3126">
        <w:rPr>
          <w:sz w:val="19"/>
          <w:szCs w:val="19"/>
        </w:rPr>
        <w:t xml:space="preserve"> Finanzgerichte</w:t>
      </w:r>
      <w:r>
        <w:rPr>
          <w:sz w:val="19"/>
          <w:szCs w:val="19"/>
        </w:rPr>
        <w:t xml:space="preserve"> zu befassen haben</w:t>
      </w:r>
      <w:r w:rsidRPr="00DF3126">
        <w:rPr>
          <w:sz w:val="19"/>
          <w:szCs w:val="19"/>
        </w:rPr>
        <w:t>. Das Finanzgericht Baden-Württemberg hatte kürzlich zur steuerlichen Anerkennung von Verlusten aus dem Betrieb einer Photovoltaik-Anlage auf dem eigenen Haus zu entscheiden.</w:t>
      </w:r>
    </w:p>
    <w:p w14:paraId="39547F7D" w14:textId="77777777" w:rsidR="008D7573" w:rsidRPr="00FA6DFA" w:rsidRDefault="008D7573" w:rsidP="00085E02">
      <w:pPr>
        <w:pStyle w:val="StandardersteSeite"/>
        <w:jc w:val="both"/>
        <w:rPr>
          <w:sz w:val="19"/>
          <w:szCs w:val="19"/>
        </w:rPr>
      </w:pPr>
      <w:r w:rsidRPr="00DF3126">
        <w:rPr>
          <w:sz w:val="19"/>
          <w:szCs w:val="19"/>
        </w:rPr>
        <w:t xml:space="preserve">Das Jahressteuergesetz 2024 hat lange auf sich warten lassen. Nun wurde der Entwurf des Gesetzes beschlossen, der eine </w:t>
      </w:r>
      <w:r w:rsidRPr="00FA6DFA">
        <w:rPr>
          <w:sz w:val="19"/>
          <w:szCs w:val="19"/>
        </w:rPr>
        <w:t>Vielzahl von gesetzlichen Änderungen quer durch das Steuerrecht enthält.</w:t>
      </w:r>
      <w:bookmarkEnd w:id="5"/>
    </w:p>
    <w:bookmarkEnd w:id="6"/>
    <w:p w14:paraId="79ABAF54" w14:textId="4E422A90" w:rsidR="008D7573" w:rsidRDefault="008D7573" w:rsidP="00085E02">
      <w:pPr>
        <w:pStyle w:val="StandardersteSeite"/>
      </w:pPr>
      <w:r w:rsidRPr="00FA6DFA">
        <w:rPr>
          <w:sz w:val="19"/>
          <w:szCs w:val="19"/>
        </w:rPr>
        <w:t>Haben Sie Fragen zu den Artikeln dieser Ausgabe der Monatsinformation oder zu anderen Themen? Bitte sprechen Sie uns</w:t>
      </w:r>
      <w:r w:rsidR="00085E02">
        <w:rPr>
          <w:sz w:val="19"/>
          <w:szCs w:val="19"/>
        </w:rPr>
        <w:t xml:space="preserve"> </w:t>
      </w:r>
      <w:r w:rsidRPr="00FA6DFA">
        <w:rPr>
          <w:sz w:val="19"/>
          <w:szCs w:val="19"/>
        </w:rPr>
        <w:t xml:space="preserve">an. </w:t>
      </w:r>
      <w:r w:rsidR="001938FA" w:rsidRPr="00FA6DFA">
        <w:rPr>
          <w:sz w:val="19"/>
          <w:szCs w:val="19"/>
        </w:rPr>
        <w:t>Wir beraten Sie gerne.</w:t>
      </w:r>
      <w:r w:rsidRPr="00DF3126">
        <w:rPr>
          <w:sz w:val="19"/>
          <w:szCs w:val="19"/>
        </w:rPr>
        <w:br/>
      </w:r>
    </w:p>
    <w:p w14:paraId="79F57448" w14:textId="77777777" w:rsidR="001B19BC" w:rsidRDefault="001938FA" w:rsidP="00085E02">
      <w:pPr>
        <w:spacing w:before="0" w:line="240" w:lineRule="auto"/>
        <w:jc w:val="both"/>
        <w:rPr>
          <w:sz w:val="19"/>
          <w:szCs w:val="19"/>
          <w:lang w:val="de-DE"/>
        </w:rPr>
      </w:pPr>
      <w:r>
        <w:rPr>
          <w:sz w:val="19"/>
          <w:szCs w:val="19"/>
          <w:lang w:val="de-DE"/>
        </w:rPr>
        <w:t>Mit freundlichen Grüßen</w:t>
      </w:r>
    </w:p>
    <w:p w14:paraId="7FF74714" w14:textId="77777777" w:rsidR="001B19BC" w:rsidRDefault="001B19BC" w:rsidP="00085E02">
      <w:pPr>
        <w:spacing w:before="0" w:line="240" w:lineRule="auto"/>
        <w:jc w:val="both"/>
        <w:rPr>
          <w:sz w:val="19"/>
          <w:szCs w:val="19"/>
          <w:lang w:val="de-DE"/>
        </w:rPr>
      </w:pPr>
    </w:p>
    <w:p w14:paraId="4A723050" w14:textId="5254647C" w:rsidR="008D7573" w:rsidRDefault="001B19BC" w:rsidP="00085E02">
      <w:pPr>
        <w:spacing w:before="0" w:line="240" w:lineRule="auto"/>
        <w:jc w:val="both"/>
        <w:rPr>
          <w:sz w:val="19"/>
          <w:szCs w:val="19"/>
          <w:lang w:val="de-DE"/>
        </w:rPr>
      </w:pPr>
      <w:r>
        <w:rPr>
          <w:noProof/>
        </w:rPr>
        <w:drawing>
          <wp:inline distT="0" distB="0" distL="0" distR="0" wp14:anchorId="0A9FD074" wp14:editId="340726A6">
            <wp:extent cx="6696710" cy="1261745"/>
            <wp:effectExtent l="0" t="0" r="889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96710" cy="1261745"/>
                    </a:xfrm>
                    <a:prstGeom prst="rect">
                      <a:avLst/>
                    </a:prstGeom>
                  </pic:spPr>
                </pic:pic>
              </a:graphicData>
            </a:graphic>
          </wp:inline>
        </w:drawing>
      </w:r>
      <w:r w:rsidR="008D7573" w:rsidRPr="00CF6635">
        <w:rPr>
          <w:sz w:val="19"/>
          <w:szCs w:val="19"/>
          <w:lang w:val="de-DE"/>
        </w:rPr>
        <w:br w:type="page"/>
      </w:r>
    </w:p>
    <w:p w14:paraId="19B43E36" w14:textId="77777777" w:rsidR="008D7573" w:rsidRPr="00EB77BC" w:rsidRDefault="008D7573" w:rsidP="008D7573">
      <w:pPr>
        <w:pStyle w:val="berschrift1"/>
        <w:rPr>
          <w:lang w:val="de-DE"/>
        </w:rPr>
      </w:pPr>
      <w:bookmarkStart w:id="8" w:name="_Hlk166596781"/>
      <w:bookmarkStart w:id="9" w:name="_Hlk169260805"/>
      <w:bookmarkStart w:id="10" w:name="_Hlk166657765"/>
      <w:r w:rsidRPr="00EB77BC">
        <w:rPr>
          <w:lang w:val="de-DE"/>
        </w:rPr>
        <w:lastRenderedPageBreak/>
        <w:t>Für Einkommensteuerpflichtige</w:t>
      </w:r>
    </w:p>
    <w:p w14:paraId="32C36C98" w14:textId="77777777" w:rsidR="008D7573" w:rsidRPr="00EB77BC" w:rsidRDefault="008D7573" w:rsidP="008D7573">
      <w:pPr>
        <w:pStyle w:val="berschrift2"/>
        <w:rPr>
          <w:lang w:val="de-DE"/>
        </w:rPr>
      </w:pPr>
      <w:bookmarkStart w:id="11" w:name="_Hlk169612373"/>
      <w:r w:rsidRPr="00EB77BC">
        <w:rPr>
          <w:lang w:val="de-DE"/>
        </w:rPr>
        <w:t>Steuerliche Auswirkung von Vereinbarungen über Gewährung von Pensionszusagen an Gesellschafter-Geschäftsführer einer GmbH</w:t>
      </w:r>
      <w:bookmarkEnd w:id="11"/>
    </w:p>
    <w:p w14:paraId="0E29C7EE" w14:textId="77777777" w:rsidR="008D7573" w:rsidRPr="00EB77BC" w:rsidRDefault="008D7573" w:rsidP="00085E02">
      <w:pPr>
        <w:jc w:val="both"/>
        <w:rPr>
          <w:lang w:val="de-DE"/>
        </w:rPr>
      </w:pPr>
      <w:r w:rsidRPr="00EB77BC">
        <w:rPr>
          <w:lang w:val="de-DE"/>
        </w:rPr>
        <w:t>Der Bundesfinanzhof hatte sich mit der steuerlichen Auswirkung von abgeschlossenen Vereinbarungen über die Gewährung von Pensionszusagen an Gesellschafter-Geschäftsführer einer GmbH zu befassen. Mit dieser Entscheidung w</w:t>
      </w:r>
      <w:r>
        <w:rPr>
          <w:lang w:val="de-DE"/>
        </w:rPr>
        <w:t>u</w:t>
      </w:r>
      <w:r w:rsidRPr="00EB77BC">
        <w:rPr>
          <w:lang w:val="de-DE"/>
        </w:rPr>
        <w:t>rden zwei wesentliche Bereiche auf diesem Rechtsgebiet dem Grunde nach geklärt. Zunächst stellte der Bundesfinanzhof fest, dass mit dem Begriff „Pensionszusage“ bzw. „Pensionsverpflichtung“ mehrere unterschiedliche Leistungen eines Unternehmens an den/die Pensionsberechtigten verbunden sind. Die Rechtsfolge der Versagung einer Rückstellungsbildung tritt deshalb auch nicht nach dem Grundsatz „ganz oder gar nicht“ ein, wie es der Ausdruck „wenn“ im Gesetz impliziert, sondern es gibt auch Teil-Anerkennungen der zugesagten Leistungen, wie es aus dem Ausdruck „soweit“ im Gesetzestext abgeleitet werden kann. Unter die Teilleistungen fallen: der laufende Rentenbezug in der zugesagten Höhe, eine mögliche Invaliditätsrente und auch die Witwenrente/Witwerrente nach Maßgabe der gesetzlich vorgesehenen Voraussetzungen.</w:t>
      </w:r>
    </w:p>
    <w:p w14:paraId="73E7BE97" w14:textId="77777777" w:rsidR="008D7573" w:rsidRPr="00EB77BC" w:rsidRDefault="008D7573" w:rsidP="00085E02">
      <w:pPr>
        <w:jc w:val="both"/>
        <w:rPr>
          <w:lang w:val="de-DE"/>
        </w:rPr>
      </w:pPr>
      <w:r w:rsidRPr="00EB77BC">
        <w:rPr>
          <w:lang w:val="de-DE"/>
        </w:rPr>
        <w:t xml:space="preserve">Die jeweiligen Einzelleistungen </w:t>
      </w:r>
      <w:r>
        <w:rPr>
          <w:lang w:val="de-DE"/>
        </w:rPr>
        <w:t>sind</w:t>
      </w:r>
      <w:r w:rsidRPr="00EB77BC">
        <w:rPr>
          <w:lang w:val="de-DE"/>
        </w:rPr>
        <w:t xml:space="preserve"> daher zunächst auf die eingehaltenen Voraussetzungen zu prüfen und ggf. sind Rückstellungen für einzelne Versorgungsleistungen zu versagen, jedoch für andere Teilleistungen zulässig. Erg</w:t>
      </w:r>
      <w:r>
        <w:rPr>
          <w:lang w:val="de-DE"/>
        </w:rPr>
        <w:t>i</w:t>
      </w:r>
      <w:r w:rsidRPr="00EB77BC">
        <w:rPr>
          <w:lang w:val="de-DE"/>
        </w:rPr>
        <w:t>b</w:t>
      </w:r>
      <w:r>
        <w:rPr>
          <w:lang w:val="de-DE"/>
        </w:rPr>
        <w:t>t</w:t>
      </w:r>
      <w:r w:rsidRPr="00EB77BC">
        <w:rPr>
          <w:lang w:val="de-DE"/>
        </w:rPr>
        <w:t xml:space="preserve"> sich für eine Invaliditätsrente z. B. keine eindeutige Regelung über die Erwerbsminderung, k</w:t>
      </w:r>
      <w:r>
        <w:rPr>
          <w:lang w:val="de-DE"/>
        </w:rPr>
        <w:t>ann</w:t>
      </w:r>
      <w:r w:rsidRPr="00EB77BC">
        <w:rPr>
          <w:lang w:val="de-DE"/>
        </w:rPr>
        <w:t xml:space="preserve"> hierfür keine Rückstellung gebildet werden, die Verpflichtung aus der Altersrente bleib</w:t>
      </w:r>
      <w:r>
        <w:rPr>
          <w:lang w:val="de-DE"/>
        </w:rPr>
        <w:t>t</w:t>
      </w:r>
      <w:r w:rsidRPr="00EB77BC">
        <w:rPr>
          <w:lang w:val="de-DE"/>
        </w:rPr>
        <w:t xml:space="preserve"> aber bestehen. Aber auch wenn einzelne Elemente „einer in Aussicht gestellten Leistung“ nicht klar und eindeutig bestimmbar sind, kann die verbleibende Leistung weiterhin rückstellungsfähig sein. So sah der Bundesfinanzhof im Urteilsfall die Regelung über einen vorzeitigen Beginn der Altersrente vor dem grundsätzlich vereinbarten Rentenbeginn mit dem 65. Lebensjahr als nicht eindeutig geregelt an</w:t>
      </w:r>
      <w:r>
        <w:rPr>
          <w:lang w:val="de-DE"/>
        </w:rPr>
        <w:t>. D</w:t>
      </w:r>
      <w:r w:rsidRPr="00EB77BC">
        <w:rPr>
          <w:lang w:val="de-DE"/>
        </w:rPr>
        <w:t xml:space="preserve">aher konnte die Rückstellungsberechnung nur auf die Vollendung dieses Lebensalters erfolgen und auch eine Rentenzahlung für davorliegende Zeiträume war keine Betriebsausgabe, sondern eine verdeckte Gewinnausschüttung. Folgerichtig musste eine Neuberechnung für die Rückstellungen in den davorliegenden Jahren vorgenommen werden und es erfolgte die Zurückverweisung des Falles an das Finanzgericht. </w:t>
      </w:r>
    </w:p>
    <w:p w14:paraId="1C878B7D" w14:textId="77777777" w:rsidR="008D7573" w:rsidRPr="00EB77BC" w:rsidRDefault="008D7573" w:rsidP="008D7573">
      <w:pPr>
        <w:pStyle w:val="berschrift2"/>
        <w:rPr>
          <w:lang w:val="de-DE"/>
        </w:rPr>
      </w:pPr>
      <w:bookmarkStart w:id="12" w:name="_Hlk169612397"/>
      <w:r w:rsidRPr="00EB77BC">
        <w:rPr>
          <w:lang w:val="de-DE"/>
        </w:rPr>
        <w:t>Verdeckte Gewinnausschüttung im Zusammenhang mit der Einräumung eines Vorkaufsrechts an einem Grundstück</w:t>
      </w:r>
    </w:p>
    <w:bookmarkEnd w:id="12"/>
    <w:p w14:paraId="16FEEBCA" w14:textId="77777777" w:rsidR="008D7573" w:rsidRPr="00EB77BC" w:rsidRDefault="008D7573" w:rsidP="00085E02">
      <w:pPr>
        <w:jc w:val="both"/>
        <w:rPr>
          <w:lang w:val="de-DE"/>
        </w:rPr>
      </w:pPr>
      <w:r w:rsidRPr="00EB77BC">
        <w:rPr>
          <w:lang w:val="de-DE"/>
        </w:rPr>
        <w:t>Der Kläger war Alleingesellschafter der J. GmbH, die ihrerseits Alleingesellschafterin der Q. GmbH war. Außerdem war der Kläger Eigentümer eines Grundstücks in Spanien. I</w:t>
      </w:r>
      <w:r>
        <w:rPr>
          <w:lang w:val="de-DE"/>
        </w:rPr>
        <w:t>m Jahr</w:t>
      </w:r>
      <w:r w:rsidRPr="00EB77BC">
        <w:rPr>
          <w:lang w:val="de-DE"/>
        </w:rPr>
        <w:t xml:space="preserve"> 2013 räumte er der Q. GmbH ein Vorkaufsrecht an dem Grundstück in Spanien ein, die sich im Gegenzug verpflichtete, Verbindlichkeiten des Klägers zu übernehmen. Später übte die Q. GmbH das Vorkaufsrecht aus und vermietete das Grundstück an den Kläger. Das Finanzamt sah darin eine verbilligte Nutzungsüberlassung, die es als verdeckte Gewinnausschüttung qualifizierte.</w:t>
      </w:r>
    </w:p>
    <w:p w14:paraId="4CA872C2" w14:textId="10FC66AE" w:rsidR="008D7573" w:rsidRDefault="008D7573" w:rsidP="00085E02">
      <w:pPr>
        <w:jc w:val="both"/>
        <w:rPr>
          <w:lang w:val="de-DE"/>
        </w:rPr>
      </w:pPr>
      <w:r w:rsidRPr="00EB77BC">
        <w:rPr>
          <w:lang w:val="de-DE"/>
        </w:rPr>
        <w:t>Werden im Gegenzug für die Einräumung eines Vorkaufsrechts an einem im Eigentum des mittelbaren</w:t>
      </w:r>
      <w:r w:rsidR="00085E02">
        <w:rPr>
          <w:lang w:val="de-DE"/>
        </w:rPr>
        <w:t xml:space="preserve"> </w:t>
      </w:r>
      <w:r w:rsidRPr="00EB77BC">
        <w:rPr>
          <w:lang w:val="de-DE"/>
        </w:rPr>
        <w:t>Allein</w:t>
      </w:r>
      <w:r w:rsidR="00085E02">
        <w:rPr>
          <w:lang w:val="de-DE"/>
        </w:rPr>
        <w:t>-</w:t>
      </w:r>
      <w:r w:rsidRPr="00EB77BC">
        <w:rPr>
          <w:lang w:val="de-DE"/>
        </w:rPr>
        <w:t xml:space="preserve">gesellschafters einer GmbH stehenden Grundstücks private Grundschulden des Gesellschafters übernommen, </w:t>
      </w:r>
      <w:r>
        <w:rPr>
          <w:lang w:val="de-DE"/>
        </w:rPr>
        <w:t>ist</w:t>
      </w:r>
      <w:r w:rsidRPr="00EB77BC">
        <w:rPr>
          <w:lang w:val="de-DE"/>
        </w:rPr>
        <w:t xml:space="preserve"> dem Gesellschafter nach dem Urteil des Finanzgerichts Düsseldorf eine verdeckte Gewinnausschüttung in Höhe der über</w:t>
      </w:r>
      <w:r w:rsidR="00085E02">
        <w:rPr>
          <w:lang w:val="de-DE"/>
        </w:rPr>
        <w:t>-</w:t>
      </w:r>
      <w:proofErr w:type="spellStart"/>
      <w:r w:rsidRPr="00EB77BC">
        <w:rPr>
          <w:lang w:val="de-DE"/>
        </w:rPr>
        <w:t>nommenen</w:t>
      </w:r>
      <w:proofErr w:type="spellEnd"/>
      <w:r w:rsidRPr="00EB77BC">
        <w:rPr>
          <w:lang w:val="de-DE"/>
        </w:rPr>
        <w:t xml:space="preserve"> Verbindlichkeiten hinzuzurechnen, wenn seitens der GmbH kein betriebliches Interesse an der Nutzung für dieses Grundstück besteht und sich aus dem Vorkaufsrecht keine sonstigen Vorteile für sie ergeben.</w:t>
      </w:r>
      <w:r w:rsidRPr="003F4991">
        <w:rPr>
          <w:lang w:val="de-DE"/>
        </w:rPr>
        <w:t xml:space="preserve"> </w:t>
      </w:r>
    </w:p>
    <w:p w14:paraId="7547562A" w14:textId="77777777" w:rsidR="008D7573" w:rsidRPr="00EB77BC" w:rsidRDefault="008D7573" w:rsidP="008D7573">
      <w:pPr>
        <w:pStyle w:val="berschrift2"/>
        <w:rPr>
          <w:lang w:val="de-DE"/>
        </w:rPr>
      </w:pPr>
      <w:bookmarkStart w:id="13" w:name="_Hlk169612423"/>
      <w:r w:rsidRPr="00EB77BC">
        <w:rPr>
          <w:lang w:val="de-DE"/>
        </w:rPr>
        <w:t>Steuerliche Fragen bei Überlassung von Fahrrädern und E-Bikes mit Zubehör an Arbeitnehmer</w:t>
      </w:r>
    </w:p>
    <w:bookmarkEnd w:id="13"/>
    <w:p w14:paraId="4CC1735B" w14:textId="77777777" w:rsidR="008D7573" w:rsidRDefault="008D7573" w:rsidP="00085E02">
      <w:pPr>
        <w:jc w:val="both"/>
        <w:rPr>
          <w:lang w:val="de-DE"/>
        </w:rPr>
      </w:pPr>
      <w:r w:rsidRPr="00EB77BC">
        <w:rPr>
          <w:lang w:val="de-DE"/>
        </w:rPr>
        <w:t xml:space="preserve">Für den Zeitraum vom 01.01.2019 bis 31.12.2030 werden vom Arbeitgeber zusätzlich zum ohnehin geschuldeten Arbeitslohn gewährte Vorteile für die Überlassung eines betrieblichen (Elektro-)Fahrrads an den Arbeitnehmer steuerfrei </w:t>
      </w:r>
      <w:r w:rsidRPr="00EB77BC">
        <w:rPr>
          <w:lang w:val="de-DE"/>
        </w:rPr>
        <w:lastRenderedPageBreak/>
        <w:t xml:space="preserve">gestellt. Die Steuerfreiheit hat die Sozialversicherungsfreiheit zur Folge. E-Bikes, bei denen es sich technisch um Kraftfahrzeuge handelt (weil der E-Motor auch Geschwindigkeiten über 25 km/h unterstützt), können nicht steuerfrei überlassen werden. Die Steuerbefreiung gilt nur für zusätzlich zum ohnehin geschuldeten Arbeitslohn gewährte Vorteile (on-top). In der Praxis wird jedoch der Großteil der sog. Job- oder Firmenräder im Rahmen von Gehaltsumwandlungs-/Leasing-Modellen an Arbeitnehmer überlassen. Bei den gängigen Leasing-Modellen least i. d. R. der Arbeitgeber das Firmenrad und überlässt es dem Arbeitnehmer im Rahmen einer Nutzungsvereinbarung mittels Gehaltsumwandlung. In diesem Fall ergibt sich ein monatlicher steuerpflichtiger geldwerter Vorteil in Höhe von </w:t>
      </w:r>
      <w:r w:rsidRPr="00615967">
        <w:rPr>
          <w:b/>
          <w:bCs/>
          <w:lang w:val="de-DE"/>
        </w:rPr>
        <w:t>1 %</w:t>
      </w:r>
      <w:r w:rsidRPr="00EB77BC">
        <w:rPr>
          <w:lang w:val="de-DE"/>
        </w:rPr>
        <w:t xml:space="preserve"> </w:t>
      </w:r>
      <w:r w:rsidRPr="00615967">
        <w:rPr>
          <w:b/>
          <w:bCs/>
          <w:lang w:val="de-DE"/>
        </w:rPr>
        <w:t>der auf volle 100 Euro abgerundeten geviertelten unverbindlichen Preisempfehlung</w:t>
      </w:r>
      <w:r w:rsidRPr="00EB77BC">
        <w:rPr>
          <w:lang w:val="de-DE"/>
        </w:rPr>
        <w:t xml:space="preserve"> (Brutto-UVP) des überlassenen Firmenrads.</w:t>
      </w:r>
    </w:p>
    <w:p w14:paraId="34734BB1" w14:textId="3768098F" w:rsidR="008D7573" w:rsidRPr="00EB77BC" w:rsidRDefault="008D7573" w:rsidP="00085E02">
      <w:pPr>
        <w:jc w:val="both"/>
        <w:rPr>
          <w:lang w:val="de-DE"/>
        </w:rPr>
      </w:pPr>
      <w:r>
        <w:rPr>
          <w:noProof/>
          <w:lang w:val="de-DE"/>
        </w:rPr>
        <w:drawing>
          <wp:anchor distT="0" distB="0" distL="114300" distR="114300" simplePos="0" relativeHeight="251659264" behindDoc="0" locked="0" layoutInCell="1" allowOverlap="1" wp14:anchorId="7538F0B2" wp14:editId="2476CC62">
            <wp:simplePos x="0" y="0"/>
            <wp:positionH relativeFrom="margin">
              <wp:align>left</wp:align>
            </wp:positionH>
            <wp:positionV relativeFrom="paragraph">
              <wp:posOffset>108585</wp:posOffset>
            </wp:positionV>
            <wp:extent cx="2202180" cy="2971800"/>
            <wp:effectExtent l="0" t="0" r="762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2180" cy="2971800"/>
                    </a:xfrm>
                    <a:prstGeom prst="rect">
                      <a:avLst/>
                    </a:prstGeom>
                    <a:noFill/>
                    <a:ln>
                      <a:noFill/>
                    </a:ln>
                  </pic:spPr>
                </pic:pic>
              </a:graphicData>
            </a:graphic>
            <wp14:sizeRelV relativeFrom="margin">
              <wp14:pctHeight>0</wp14:pctHeight>
            </wp14:sizeRelV>
          </wp:anchor>
        </w:drawing>
      </w:r>
      <w:r w:rsidRPr="00EB77BC">
        <w:rPr>
          <w:lang w:val="de-DE"/>
        </w:rPr>
        <w:t>Im Rahmen der Leasingmodelle besteht häufig die Möglichkeit</w:t>
      </w:r>
      <w:r>
        <w:rPr>
          <w:lang w:val="de-DE"/>
        </w:rPr>
        <w:t>,</w:t>
      </w:r>
      <w:r w:rsidRPr="00EB77BC">
        <w:rPr>
          <w:lang w:val="de-DE"/>
        </w:rPr>
        <w:t xml:space="preserve"> </w:t>
      </w:r>
      <w:r w:rsidRPr="00615967">
        <w:rPr>
          <w:b/>
          <w:bCs/>
          <w:lang w:val="de-DE"/>
        </w:rPr>
        <w:t>fahrrad</w:t>
      </w:r>
      <w:r w:rsidR="00085E02">
        <w:rPr>
          <w:b/>
          <w:bCs/>
          <w:lang w:val="de-DE"/>
        </w:rPr>
        <w:t>-</w:t>
      </w:r>
      <w:r w:rsidRPr="00615967">
        <w:rPr>
          <w:b/>
          <w:bCs/>
          <w:lang w:val="de-DE"/>
        </w:rPr>
        <w:t>typisches Zubehör</w:t>
      </w:r>
      <w:r w:rsidRPr="00EB77BC">
        <w:rPr>
          <w:lang w:val="de-DE"/>
        </w:rPr>
        <w:t xml:space="preserve"> </w:t>
      </w:r>
      <w:proofErr w:type="spellStart"/>
      <w:r w:rsidRPr="00EB77BC">
        <w:rPr>
          <w:lang w:val="de-DE"/>
        </w:rPr>
        <w:t>mitzuleasen</w:t>
      </w:r>
      <w:proofErr w:type="spellEnd"/>
      <w:r w:rsidRPr="00EB77BC">
        <w:rPr>
          <w:lang w:val="de-DE"/>
        </w:rPr>
        <w:t xml:space="preserve"> bzw. gingen zu dieser Frage zahlreiche Anrufungsauskünfte bei den Finanzämtern ein. Um eine einheitliche Rechts</w:t>
      </w:r>
      <w:r w:rsidR="00085E02">
        <w:rPr>
          <w:lang w:val="de-DE"/>
        </w:rPr>
        <w:t>-</w:t>
      </w:r>
      <w:r w:rsidRPr="00EB77BC">
        <w:rPr>
          <w:lang w:val="de-DE"/>
        </w:rPr>
        <w:t>auslegung sicherzustellen, hat sich die Finanzverwaltung zum steuerlichen Umgang von Fahrradzubehör geäußert. Danach gehören zum fahrrad</w:t>
      </w:r>
      <w:r w:rsidR="00085E02">
        <w:rPr>
          <w:lang w:val="de-DE"/>
        </w:rPr>
        <w:t>-</w:t>
      </w:r>
      <w:r w:rsidRPr="00EB77BC">
        <w:rPr>
          <w:lang w:val="de-DE"/>
        </w:rPr>
        <w:t>typischen Zubehör alle unselbstständigen Einbauten. Als steuerlich</w:t>
      </w:r>
      <w:r w:rsidR="00085E02">
        <w:rPr>
          <w:lang w:val="de-DE"/>
        </w:rPr>
        <w:t xml:space="preserve"> </w:t>
      </w:r>
      <w:proofErr w:type="spellStart"/>
      <w:r w:rsidRPr="00EB77BC">
        <w:rPr>
          <w:lang w:val="de-DE"/>
        </w:rPr>
        <w:t>begüns</w:t>
      </w:r>
      <w:r w:rsidR="00085E02">
        <w:rPr>
          <w:lang w:val="de-DE"/>
        </w:rPr>
        <w:t>-</w:t>
      </w:r>
      <w:r w:rsidRPr="00EB77BC">
        <w:rPr>
          <w:lang w:val="de-DE"/>
        </w:rPr>
        <w:t>tigtes</w:t>
      </w:r>
      <w:proofErr w:type="spellEnd"/>
      <w:r w:rsidRPr="00EB77BC">
        <w:rPr>
          <w:lang w:val="de-DE"/>
        </w:rPr>
        <w:t xml:space="preserve"> Zubehör stuft die Finanzverwaltung nur fest am Rahmen des Fahrrads oder anderen Fahrradteilen verbaute Zubehörteile, wie z. B. Fahrradständer, Gepäckträger, Schutzbleche, Klingel, Rückspiegel, Schlösser,</w:t>
      </w:r>
      <w:r w:rsidR="00085E02">
        <w:rPr>
          <w:lang w:val="de-DE"/>
        </w:rPr>
        <w:t xml:space="preserve"> </w:t>
      </w:r>
      <w:r w:rsidRPr="00EB77BC">
        <w:rPr>
          <w:lang w:val="de-DE"/>
        </w:rPr>
        <w:t>Navigations</w:t>
      </w:r>
      <w:r w:rsidR="00085E02">
        <w:rPr>
          <w:lang w:val="de-DE"/>
        </w:rPr>
        <w:t>-</w:t>
      </w:r>
      <w:r w:rsidRPr="00EB77BC">
        <w:rPr>
          <w:lang w:val="de-DE"/>
        </w:rPr>
        <w:t xml:space="preserve">geräte, andere angebaute Träger oder modellspezifische Halterungen ein. </w:t>
      </w:r>
    </w:p>
    <w:p w14:paraId="462B92C7" w14:textId="2D4373B0" w:rsidR="008D7573" w:rsidRPr="00EB77BC" w:rsidRDefault="008D7573" w:rsidP="00085E02">
      <w:pPr>
        <w:jc w:val="both"/>
        <w:rPr>
          <w:lang w:val="de-DE"/>
        </w:rPr>
      </w:pPr>
      <w:r>
        <w:rPr>
          <w:lang w:val="de-DE"/>
        </w:rPr>
        <w:t>D</w:t>
      </w:r>
      <w:r w:rsidRPr="00EB77BC">
        <w:rPr>
          <w:lang w:val="de-DE"/>
        </w:rPr>
        <w:t xml:space="preserve">ie Finanzverwaltung </w:t>
      </w:r>
      <w:r>
        <w:rPr>
          <w:lang w:val="de-DE"/>
        </w:rPr>
        <w:t xml:space="preserve">nennt </w:t>
      </w:r>
      <w:r w:rsidRPr="00EB77BC">
        <w:rPr>
          <w:lang w:val="de-DE"/>
        </w:rPr>
        <w:t>auch Beispiele für steuerlich nicht begünstigtes fahrradtypische</w:t>
      </w:r>
      <w:r>
        <w:rPr>
          <w:lang w:val="de-DE"/>
        </w:rPr>
        <w:t>s</w:t>
      </w:r>
      <w:r w:rsidRPr="00EB77BC">
        <w:rPr>
          <w:lang w:val="de-DE"/>
        </w:rPr>
        <w:t xml:space="preserve"> Zubehör. Hierzu zählt die Fahrerausrüstung (z. B. Helm, Handschuhe, Kleidung o. Ä.), in modellspezifische Halterungen einsetzbare Geräte (z. B. Smartphone, mobiles Navigationsgerät) oder andere Gegenstände (z. B. Fahrradanhänger, Lenker</w:t>
      </w:r>
      <w:r w:rsidRPr="00EB77BC">
        <w:rPr>
          <w:rFonts w:ascii="Cambria Math" w:hAnsi="Cambria Math" w:cs="Cambria Math"/>
          <w:lang w:val="de-DE"/>
        </w:rPr>
        <w:t>‑</w:t>
      </w:r>
      <w:r w:rsidRPr="00EB77BC">
        <w:rPr>
          <w:lang w:val="de-DE"/>
        </w:rPr>
        <w:t>, Rahmen</w:t>
      </w:r>
      <w:r w:rsidRPr="00EB77BC">
        <w:rPr>
          <w:rFonts w:ascii="Cambria Math" w:hAnsi="Cambria Math" w:cs="Cambria Math"/>
          <w:lang w:val="de-DE"/>
        </w:rPr>
        <w:t>‑</w:t>
      </w:r>
      <w:r w:rsidRPr="00EB77BC">
        <w:rPr>
          <w:lang w:val="de-DE"/>
        </w:rPr>
        <w:t xml:space="preserve"> oder Satteltaschen oder Fahrrad</w:t>
      </w:r>
      <w:r w:rsidR="00085E02">
        <w:rPr>
          <w:lang w:val="de-DE"/>
        </w:rPr>
        <w:t>-</w:t>
      </w:r>
      <w:r w:rsidRPr="00EB77BC">
        <w:rPr>
          <w:lang w:val="de-DE"/>
        </w:rPr>
        <w:t>korb). Dieses steuerlich nicht beg</w:t>
      </w:r>
      <w:r w:rsidRPr="00EB77BC">
        <w:rPr>
          <w:rFonts w:ascii="Calibri" w:hAnsi="Calibri" w:cs="Calibri"/>
          <w:lang w:val="de-DE"/>
        </w:rPr>
        <w:t>ü</w:t>
      </w:r>
      <w:r w:rsidRPr="00EB77BC">
        <w:rPr>
          <w:lang w:val="de-DE"/>
        </w:rPr>
        <w:t>nstigte Fahrradzubeh</w:t>
      </w:r>
      <w:r w:rsidRPr="00EB77BC">
        <w:rPr>
          <w:rFonts w:ascii="Calibri" w:hAnsi="Calibri" w:cs="Calibri"/>
          <w:lang w:val="de-DE"/>
        </w:rPr>
        <w:t>ö</w:t>
      </w:r>
      <w:r w:rsidRPr="00EB77BC">
        <w:rPr>
          <w:lang w:val="de-DE"/>
        </w:rPr>
        <w:t>r muss vom Arbeitgeber gesondert bewertet werden und stellt beim Arbeitnehmer regelmäßig steuerpflichtigen Arbeitslohn dar.</w:t>
      </w:r>
    </w:p>
    <w:p w14:paraId="10AAAF18" w14:textId="77777777" w:rsidR="008D7573" w:rsidRPr="00EB77BC" w:rsidRDefault="008D7573" w:rsidP="008D7573">
      <w:pPr>
        <w:pStyle w:val="berschrift2"/>
        <w:rPr>
          <w:lang w:val="de-DE"/>
        </w:rPr>
      </w:pPr>
      <w:bookmarkStart w:id="14" w:name="_Hlk169612447"/>
      <w:r w:rsidRPr="00EB77BC">
        <w:rPr>
          <w:lang w:val="de-DE"/>
        </w:rPr>
        <w:t>Spenden anlässlich Hochwasserhilfe sind steuerlich absetzbar</w:t>
      </w:r>
      <w:bookmarkEnd w:id="14"/>
    </w:p>
    <w:p w14:paraId="7F0BD42D" w14:textId="77777777" w:rsidR="008D7573" w:rsidRPr="00EB77BC" w:rsidRDefault="008D7573" w:rsidP="00085E02">
      <w:pPr>
        <w:jc w:val="both"/>
        <w:rPr>
          <w:lang w:val="de-DE"/>
        </w:rPr>
      </w:pPr>
      <w:r w:rsidRPr="00EB77BC">
        <w:rPr>
          <w:lang w:val="de-DE"/>
        </w:rPr>
        <w:t>In Teilen Süddeutschlands haben viele Menschen durch die heftigen Unwetter und die folgenden Überflutungen Schäden erlitten. Hilfsorganisationen sind überall dort zur Stelle, wo es Bedarf gibt. Wer ihnen mit einer Spende unter die Arme greifen möchte, kann davon steuerlich profitieren.</w:t>
      </w:r>
    </w:p>
    <w:p w14:paraId="03D7C5DA" w14:textId="77777777" w:rsidR="008D7573" w:rsidRPr="00EB77BC" w:rsidRDefault="008D7573" w:rsidP="00085E02">
      <w:pPr>
        <w:jc w:val="both"/>
        <w:rPr>
          <w:lang w:val="de-DE"/>
        </w:rPr>
      </w:pPr>
      <w:r w:rsidRPr="00EB77BC">
        <w:rPr>
          <w:lang w:val="de-DE"/>
        </w:rPr>
        <w:t>Bei Spenden an eine gemeinnützige Organisation von bis zu 300 Euro genügt dem Finanzamt ein einfacher Nachweis - zum Beispiel ein Kontoauszug oder ein Screenshot der Überweisung. Der Nachweis sollte den Namen und die Kontonummer des Spenders und des Empfängers enthalten. Wer mehr als 300 Euro spenden möchte, braucht als Nachweis in der Regel eine Spendenbescheinigung, die die empfangende Organisation ausstellt. In Katastrophenfällen können Finanzbehörden diese Regelung aufweichen und auch bei höheren Zuwendungen den einfachen Nachweis akzeptieren. Voraussetzung ist, dass das Geld auf ein eigens für den jeweiligen Katastrophenfall eingerichtetes Sonderkonto geht. Steuerlich absetzbar sind nur Spendenbeträge bis zu einer Höhe von 20 Prozent der eigenen Jahreseinkünfte.</w:t>
      </w:r>
    </w:p>
    <w:p w14:paraId="07CDE748" w14:textId="77777777" w:rsidR="008D7573" w:rsidRDefault="008D7573" w:rsidP="00085E02">
      <w:pPr>
        <w:jc w:val="both"/>
        <w:rPr>
          <w:lang w:val="de-DE"/>
        </w:rPr>
      </w:pPr>
      <w:r>
        <w:rPr>
          <w:lang w:val="de-DE"/>
        </w:rPr>
        <w:t>Ein</w:t>
      </w:r>
      <w:r w:rsidRPr="00EB77BC">
        <w:rPr>
          <w:lang w:val="de-DE"/>
        </w:rPr>
        <w:t xml:space="preserve"> Beleg muss nicht direkt mitgesendet werden. Er sollte aber zur Hand sein, falls das Finanzamt danach fragt.</w:t>
      </w:r>
    </w:p>
    <w:p w14:paraId="65A6A1D5" w14:textId="77777777" w:rsidR="00A21957" w:rsidRDefault="00A21957" w:rsidP="00085E02">
      <w:pPr>
        <w:jc w:val="both"/>
        <w:rPr>
          <w:lang w:val="de-DE"/>
        </w:rPr>
      </w:pPr>
    </w:p>
    <w:p w14:paraId="155ED7F7" w14:textId="77777777" w:rsidR="00A21957" w:rsidRPr="00EB77BC" w:rsidRDefault="00A21957" w:rsidP="00085E02">
      <w:pPr>
        <w:jc w:val="both"/>
        <w:rPr>
          <w:lang w:val="de-DE"/>
        </w:rPr>
      </w:pPr>
    </w:p>
    <w:p w14:paraId="012E79A5" w14:textId="74557C11" w:rsidR="008D7573" w:rsidRPr="00EB77BC" w:rsidRDefault="008D7573" w:rsidP="008D7573">
      <w:pPr>
        <w:pStyle w:val="HinweisFett"/>
      </w:pPr>
      <w:r w:rsidRPr="00EB77BC">
        <w:lastRenderedPageBreak/>
        <w:t>Hinweis</w:t>
      </w:r>
    </w:p>
    <w:p w14:paraId="6EFD632A" w14:textId="77777777" w:rsidR="008D7573" w:rsidRPr="00EB77BC" w:rsidRDefault="008D7573" w:rsidP="008D7573">
      <w:pPr>
        <w:pStyle w:val="Hinweis"/>
        <w:rPr>
          <w:lang w:val="de-DE"/>
        </w:rPr>
      </w:pPr>
      <w:r w:rsidRPr="004E3B71">
        <w:rPr>
          <w:lang w:val="de-DE"/>
        </w:rPr>
        <w:t>Seriöse Organisationen kann man zum Beispiel an dem Spendensiegel des Deutschen Zentralinstituts für soziale Fragen (DZI) erkennen.</w:t>
      </w:r>
    </w:p>
    <w:p w14:paraId="09D23341" w14:textId="77777777" w:rsidR="008D7573" w:rsidRPr="00EB77BC" w:rsidRDefault="008D7573" w:rsidP="00085E02">
      <w:pPr>
        <w:jc w:val="both"/>
        <w:rPr>
          <w:lang w:val="de-DE"/>
        </w:rPr>
      </w:pPr>
      <w:r w:rsidRPr="00EB77BC">
        <w:rPr>
          <w:lang w:val="de-DE"/>
        </w:rPr>
        <w:t>Die Finanzämter i</w:t>
      </w:r>
      <w:r>
        <w:rPr>
          <w:lang w:val="de-DE"/>
        </w:rPr>
        <w:t xml:space="preserve">n </w:t>
      </w:r>
      <w:r w:rsidRPr="00EB77BC">
        <w:rPr>
          <w:b/>
          <w:bCs/>
          <w:lang w:val="de-DE"/>
        </w:rPr>
        <w:t>Baden-Württemberg</w:t>
      </w:r>
      <w:r w:rsidRPr="00EB77BC">
        <w:rPr>
          <w:lang w:val="de-DE"/>
        </w:rPr>
        <w:t xml:space="preserve"> </w:t>
      </w:r>
      <w:r>
        <w:rPr>
          <w:lang w:val="de-DE"/>
        </w:rPr>
        <w:t>wollen</w:t>
      </w:r>
      <w:r w:rsidRPr="00EB77BC">
        <w:rPr>
          <w:lang w:val="de-DE"/>
        </w:rPr>
        <w:t xml:space="preserve"> alle ihnen zur Verfügung stehenden steuerlichen Maßnahmen ausschöpfen, um den vom Hochwasser betroffenen Bürgern sowie Unternehmen entgegen zu kommen.</w:t>
      </w:r>
      <w:r>
        <w:rPr>
          <w:lang w:val="de-DE"/>
        </w:rPr>
        <w:t xml:space="preserve"> </w:t>
      </w:r>
      <w:r w:rsidRPr="00EB77BC">
        <w:rPr>
          <w:lang w:val="de-DE"/>
        </w:rPr>
        <w:t>Konkrete Erleichterungen sind z. B. angepasste steuerliche Vorauszahlungen oder die Stundung von fälligen Einkommen-, Körperschaft- oder Umsatzsteuerbeträgen. In begründeten Fällen ist es außerdem möglich, dass Vollstreckungen aufgeschoben werden, ohne dass dafür Säumniszuschläge gezahlt werden müssen.</w:t>
      </w:r>
      <w:r>
        <w:rPr>
          <w:lang w:val="de-DE"/>
        </w:rPr>
        <w:t xml:space="preserve"> </w:t>
      </w:r>
      <w:r w:rsidRPr="00EB77BC">
        <w:rPr>
          <w:lang w:val="de-DE"/>
        </w:rPr>
        <w:t xml:space="preserve">Alle Betroffenen können sich direkt an das jeweils zuständige Finanzamt wenden. </w:t>
      </w:r>
    </w:p>
    <w:p w14:paraId="60050054" w14:textId="77777777" w:rsidR="008D7573" w:rsidRPr="00EB77BC" w:rsidRDefault="008D7573" w:rsidP="008D7573">
      <w:pPr>
        <w:pStyle w:val="HinweisFett"/>
      </w:pPr>
      <w:r w:rsidRPr="00EB77BC">
        <w:t>Hinweis</w:t>
      </w:r>
    </w:p>
    <w:p w14:paraId="3AEA8DCD" w14:textId="77777777" w:rsidR="008D7573" w:rsidRPr="00EB77BC" w:rsidRDefault="008D7573" w:rsidP="008D7573">
      <w:pPr>
        <w:pStyle w:val="Hinweis"/>
        <w:rPr>
          <w:lang w:val="de-DE"/>
        </w:rPr>
      </w:pPr>
      <w:r w:rsidRPr="00EB77BC">
        <w:rPr>
          <w:lang w:val="de-DE"/>
        </w:rPr>
        <w:t>Auch in weiteren von Hochwasser betroffenen Bundesländern wie Bayern</w:t>
      </w:r>
      <w:r>
        <w:rPr>
          <w:lang w:val="de-DE"/>
        </w:rPr>
        <w:t xml:space="preserve"> </w:t>
      </w:r>
      <w:r w:rsidRPr="00EB77BC">
        <w:rPr>
          <w:lang w:val="de-DE"/>
        </w:rPr>
        <w:t>und Rheinland-Pfalz werden Soforthilfen angeboten.</w:t>
      </w:r>
    </w:p>
    <w:p w14:paraId="534ED1E8" w14:textId="77777777" w:rsidR="008D7573" w:rsidRPr="00CF5831" w:rsidRDefault="008D7573" w:rsidP="008D7573">
      <w:pPr>
        <w:pStyle w:val="berschrift2"/>
        <w:rPr>
          <w:lang w:val="de-DE"/>
        </w:rPr>
      </w:pPr>
      <w:bookmarkStart w:id="15" w:name="_Hlk169612472"/>
      <w:r w:rsidRPr="00CF5831">
        <w:rPr>
          <w:lang w:val="de-DE"/>
        </w:rPr>
        <w:t>Genussrechtsausschüttungen als Einkünfte aus nichtselbstständiger Arbeit oder Einkünfte aus Kapitalvermögen</w:t>
      </w:r>
      <w:bookmarkEnd w:id="15"/>
    </w:p>
    <w:p w14:paraId="11D7825B" w14:textId="77777777" w:rsidR="008D7573" w:rsidRPr="00CF5831" w:rsidRDefault="008D7573" w:rsidP="00085E02">
      <w:pPr>
        <w:jc w:val="both"/>
        <w:rPr>
          <w:lang w:val="de-DE"/>
        </w:rPr>
      </w:pPr>
      <w:r w:rsidRPr="00CF5831">
        <w:rPr>
          <w:lang w:val="de-DE"/>
        </w:rPr>
        <w:t xml:space="preserve">Ein Genussrecht beteiligt Gläubiger an Unternehmensgewinnen, wobei der Gläubiger nicht über Eigentümerrechte verfügt. Ausschüttungen aus nur den Führungskräften angebotenen Genussrechten am Arbeitgeber </w:t>
      </w:r>
      <w:r>
        <w:rPr>
          <w:lang w:val="de-DE"/>
        </w:rPr>
        <w:t>sind</w:t>
      </w:r>
      <w:r w:rsidRPr="00CF5831">
        <w:rPr>
          <w:lang w:val="de-DE"/>
        </w:rPr>
        <w:t xml:space="preserve"> </w:t>
      </w:r>
      <w:r>
        <w:rPr>
          <w:lang w:val="de-DE"/>
        </w:rPr>
        <w:t xml:space="preserve">nach Ansicht des Hessischen Finanzgerichts </w:t>
      </w:r>
      <w:r w:rsidRPr="00CF5831">
        <w:rPr>
          <w:lang w:val="de-DE"/>
        </w:rPr>
        <w:t>jedenfalls dann Arbeitslohn, wenn die mögliche Verzinsung des Genussrechtskapitals die marktübliche Rendite übersteig</w:t>
      </w:r>
      <w:r>
        <w:rPr>
          <w:lang w:val="de-DE"/>
        </w:rPr>
        <w:t>t</w:t>
      </w:r>
      <w:r w:rsidRPr="00CF5831">
        <w:rPr>
          <w:lang w:val="de-DE"/>
        </w:rPr>
        <w:t>.</w:t>
      </w:r>
    </w:p>
    <w:p w14:paraId="13B0A511" w14:textId="77777777" w:rsidR="008D7573" w:rsidRPr="00CF5831" w:rsidRDefault="008D7573" w:rsidP="00085E02">
      <w:pPr>
        <w:jc w:val="both"/>
        <w:rPr>
          <w:lang w:val="de-DE"/>
        </w:rPr>
      </w:pPr>
      <w:r w:rsidRPr="00CF5831">
        <w:rPr>
          <w:lang w:val="de-DE"/>
        </w:rPr>
        <w:t>Eine Qualifikation der Ausschüttungen als Einkünfte aus Kapitalvermögen folg</w:t>
      </w:r>
      <w:r>
        <w:rPr>
          <w:lang w:val="de-DE"/>
        </w:rPr>
        <w:t>t</w:t>
      </w:r>
      <w:r w:rsidRPr="00CF5831">
        <w:rPr>
          <w:lang w:val="de-DE"/>
        </w:rPr>
        <w:t xml:space="preserve"> in diesem Fall auch nicht daraus, dass der Arbeitnehmer die Genussrechte aus eigenem Vermögen erworben ha</w:t>
      </w:r>
      <w:r>
        <w:rPr>
          <w:lang w:val="de-DE"/>
        </w:rPr>
        <w:t>t</w:t>
      </w:r>
      <w:r w:rsidRPr="00CF5831">
        <w:rPr>
          <w:lang w:val="de-DE"/>
        </w:rPr>
        <w:t>, ein effektives Verlustrisiko tr</w:t>
      </w:r>
      <w:r>
        <w:rPr>
          <w:lang w:val="de-DE"/>
        </w:rPr>
        <w:t>ägt</w:t>
      </w:r>
      <w:r w:rsidRPr="00CF5831">
        <w:rPr>
          <w:lang w:val="de-DE"/>
        </w:rPr>
        <w:t xml:space="preserve"> und ihm die Ausschüttungen auch bei krankheitsbedingtem Ausfall oder im Fall der Elternzeit im gesamten Geschäftsjahr zustehen.</w:t>
      </w:r>
      <w:r w:rsidRPr="00615967">
        <w:rPr>
          <w:lang w:val="de-DE"/>
        </w:rPr>
        <w:t xml:space="preserve"> </w:t>
      </w:r>
    </w:p>
    <w:p w14:paraId="7AB94601" w14:textId="77777777" w:rsidR="008D7573" w:rsidRPr="00CF5831" w:rsidRDefault="008D7573" w:rsidP="008D7573">
      <w:pPr>
        <w:pStyle w:val="berschrift2"/>
        <w:rPr>
          <w:lang w:val="de-DE"/>
        </w:rPr>
      </w:pPr>
      <w:bookmarkStart w:id="16" w:name="_Hlk169612486"/>
      <w:r w:rsidRPr="00CF5831">
        <w:rPr>
          <w:lang w:val="de-DE"/>
        </w:rPr>
        <w:t>Gewinnerzielungsabsicht bei Betrieb einer Photovoltaik-Anlage auf dem eigenen Haus</w:t>
      </w:r>
      <w:bookmarkEnd w:id="16"/>
    </w:p>
    <w:p w14:paraId="30BF837C" w14:textId="77777777" w:rsidR="008D7573" w:rsidRPr="00CF5831" w:rsidRDefault="008D7573" w:rsidP="00085E02">
      <w:pPr>
        <w:jc w:val="both"/>
        <w:rPr>
          <w:lang w:val="de-DE"/>
        </w:rPr>
      </w:pPr>
      <w:r w:rsidRPr="00CF5831">
        <w:rPr>
          <w:lang w:val="de-DE"/>
        </w:rPr>
        <w:t xml:space="preserve">Der Beurteilung, ob eine PV-Anlage mit Gewinnerzielungsabsicht betrieben wird, ist ein Prognosezeitraum von 20 Jahren zugrunde zu legen. Wenn die erzeugte Strommenge vom Kleinanlagenbetreiber nicht nachgewiesen </w:t>
      </w:r>
      <w:r>
        <w:rPr>
          <w:lang w:val="de-DE"/>
        </w:rPr>
        <w:t>wird</w:t>
      </w:r>
      <w:r w:rsidRPr="00CF5831">
        <w:rPr>
          <w:lang w:val="de-DE"/>
        </w:rPr>
        <w:t xml:space="preserve">, </w:t>
      </w:r>
      <w:r>
        <w:rPr>
          <w:lang w:val="de-DE"/>
        </w:rPr>
        <w:t>kann</w:t>
      </w:r>
      <w:r w:rsidRPr="00CF5831">
        <w:rPr>
          <w:lang w:val="de-DE"/>
        </w:rPr>
        <w:t xml:space="preserve"> sie aus Vereinfachungsgründen unter Berücksichtigung einer durchschnittlichen Volllaststundenzahl von 1.000 kWh/kWp geschätzt werden. Hinsichtlich des selbst verbrauchten Stroms komm</w:t>
      </w:r>
      <w:r>
        <w:rPr>
          <w:lang w:val="de-DE"/>
        </w:rPr>
        <w:t>t</w:t>
      </w:r>
      <w:r w:rsidRPr="00CF5831">
        <w:rPr>
          <w:lang w:val="de-DE"/>
        </w:rPr>
        <w:t xml:space="preserve"> es zu einer mit dem Teilwert als Betriebseinnahme zu erfassenden Entnahme. Der Teilwert des selbst verbrauchten Stroms entspr</w:t>
      </w:r>
      <w:r>
        <w:rPr>
          <w:lang w:val="de-DE"/>
        </w:rPr>
        <w:t>i</w:t>
      </w:r>
      <w:r w:rsidRPr="00CF5831">
        <w:rPr>
          <w:lang w:val="de-DE"/>
        </w:rPr>
        <w:t>ch</w:t>
      </w:r>
      <w:r>
        <w:rPr>
          <w:lang w:val="de-DE"/>
        </w:rPr>
        <w:t>t</w:t>
      </w:r>
      <w:r w:rsidRPr="00CF5831">
        <w:rPr>
          <w:lang w:val="de-DE"/>
        </w:rPr>
        <w:t xml:space="preserve"> den für seine Erzeugung aufgewandten Kosten (Anschaffungskosten der PV-Anlage und Betriebskosten, verteilt auf die in 20 Jahren zu erwartende Stromproduktion) und k</w:t>
      </w:r>
      <w:r>
        <w:rPr>
          <w:lang w:val="de-DE"/>
        </w:rPr>
        <w:t>ann</w:t>
      </w:r>
      <w:r w:rsidRPr="00CF5831">
        <w:rPr>
          <w:lang w:val="de-DE"/>
        </w:rPr>
        <w:t xml:space="preserve"> bei der Totalgewinnermittlungsprognose nicht etwa mit dem von der Finanzverwaltung in bestimmten Fällen aus Vereinfachungsgründen akzeptierten Pauschalwert von 0,20 Euro/kWh angesetzt werden. Bei der Totalgewinnermittlungsprognose ist kein Restwert der PV-Anlage nach Ablauf der 20-jährigen Nutzungsdauer als Einnahme zu berücksichtigen.</w:t>
      </w:r>
    </w:p>
    <w:p w14:paraId="3E23EDE9" w14:textId="77777777" w:rsidR="008D7573" w:rsidRPr="00CF5831" w:rsidRDefault="008D7573" w:rsidP="00085E02">
      <w:pPr>
        <w:jc w:val="both"/>
        <w:rPr>
          <w:lang w:val="de-DE"/>
        </w:rPr>
      </w:pPr>
      <w:r w:rsidRPr="00CF5831">
        <w:rPr>
          <w:lang w:val="de-DE"/>
        </w:rPr>
        <w:t>Bei dem Betrieb einer PV-Anlage spr</w:t>
      </w:r>
      <w:r>
        <w:rPr>
          <w:lang w:val="de-DE"/>
        </w:rPr>
        <w:t>icht</w:t>
      </w:r>
      <w:r w:rsidRPr="00CF5831">
        <w:rPr>
          <w:lang w:val="de-DE"/>
        </w:rPr>
        <w:t xml:space="preserve"> der Beweis des ersten Anscheins zunächst dafür, dass sie in der Absicht der Gewinnerzielung betrieben w</w:t>
      </w:r>
      <w:r>
        <w:rPr>
          <w:lang w:val="de-DE"/>
        </w:rPr>
        <w:t>ird</w:t>
      </w:r>
      <w:r w:rsidRPr="00CF5831">
        <w:rPr>
          <w:lang w:val="de-DE"/>
        </w:rPr>
        <w:t>. Dieser Anscheinsbeweis w</w:t>
      </w:r>
      <w:r>
        <w:rPr>
          <w:lang w:val="de-DE"/>
        </w:rPr>
        <w:t>ird</w:t>
      </w:r>
      <w:r w:rsidRPr="00CF5831">
        <w:rPr>
          <w:lang w:val="de-DE"/>
        </w:rPr>
        <w:t xml:space="preserve"> aber bereits dadurch erschüttert, dass nach einer Totalgewinnprognose innerhalb eines Zeitraums von 20 Jahren kein Gewinn erzielt werden kann. Wenn der Steuerpflichtige die Verluste aus der PV-Anlage im Hinblick darauf hingenommen ha</w:t>
      </w:r>
      <w:r>
        <w:rPr>
          <w:lang w:val="de-DE"/>
        </w:rPr>
        <w:t>t</w:t>
      </w:r>
      <w:r w:rsidRPr="00CF5831">
        <w:rPr>
          <w:lang w:val="de-DE"/>
        </w:rPr>
        <w:t xml:space="preserve">, dass der selbst erzeugte Strom </w:t>
      </w:r>
      <w:r w:rsidRPr="00CF5831">
        <w:rPr>
          <w:lang w:val="de-DE"/>
        </w:rPr>
        <w:lastRenderedPageBreak/>
        <w:t xml:space="preserve">finanziell deutlich günstiger </w:t>
      </w:r>
      <w:r>
        <w:rPr>
          <w:lang w:val="de-DE"/>
        </w:rPr>
        <w:t>ist</w:t>
      </w:r>
      <w:r w:rsidRPr="00CF5831">
        <w:rPr>
          <w:lang w:val="de-DE"/>
        </w:rPr>
        <w:t xml:space="preserve"> als der von einem Stromanbieter bezogene, </w:t>
      </w:r>
      <w:r>
        <w:rPr>
          <w:lang w:val="de-DE"/>
        </w:rPr>
        <w:t>ist</w:t>
      </w:r>
      <w:r w:rsidRPr="00CF5831">
        <w:rPr>
          <w:lang w:val="de-DE"/>
        </w:rPr>
        <w:t xml:space="preserve"> von persönlichen und außerhalb der steuerrechtlich relevanten </w:t>
      </w:r>
      <w:proofErr w:type="spellStart"/>
      <w:r w:rsidRPr="00CF5831">
        <w:rPr>
          <w:lang w:val="de-DE"/>
        </w:rPr>
        <w:t>Einkünftesphäre</w:t>
      </w:r>
      <w:proofErr w:type="spellEnd"/>
      <w:r w:rsidRPr="00CF5831">
        <w:rPr>
          <w:lang w:val="de-DE"/>
        </w:rPr>
        <w:t xml:space="preserve"> liegenden, gegen eine </w:t>
      </w:r>
      <w:proofErr w:type="spellStart"/>
      <w:r w:rsidRPr="00CF5831">
        <w:rPr>
          <w:lang w:val="de-DE"/>
        </w:rPr>
        <w:t>Einkünfteerzielungsabsicht</w:t>
      </w:r>
      <w:proofErr w:type="spellEnd"/>
      <w:r w:rsidRPr="00CF5831">
        <w:rPr>
          <w:lang w:val="de-DE"/>
        </w:rPr>
        <w:t xml:space="preserve"> sprechenden Gründen für den Betrieb der PV-Anlage auszugehen. Im Streitfall </w:t>
      </w:r>
      <w:r>
        <w:rPr>
          <w:lang w:val="de-DE"/>
        </w:rPr>
        <w:t xml:space="preserve">vor dem </w:t>
      </w:r>
      <w:r w:rsidRPr="00CF5831">
        <w:rPr>
          <w:lang w:val="de-DE"/>
        </w:rPr>
        <w:t>Finanzgericht Baden-Württemberg ha</w:t>
      </w:r>
      <w:r>
        <w:rPr>
          <w:lang w:val="de-DE"/>
        </w:rPr>
        <w:t>t</w:t>
      </w:r>
      <w:r w:rsidRPr="00CF5831">
        <w:rPr>
          <w:lang w:val="de-DE"/>
        </w:rPr>
        <w:t xml:space="preserve"> die Finanzbehörde die geltend gemachten Verluste aus Gewerbebetrieb mangels </w:t>
      </w:r>
      <w:proofErr w:type="spellStart"/>
      <w:r w:rsidRPr="00CF5831">
        <w:rPr>
          <w:lang w:val="de-DE"/>
        </w:rPr>
        <w:t>Einkünfteerzielungsabsicht</w:t>
      </w:r>
      <w:proofErr w:type="spellEnd"/>
      <w:r w:rsidRPr="00CF5831">
        <w:rPr>
          <w:lang w:val="de-DE"/>
        </w:rPr>
        <w:t xml:space="preserve"> des Klägers zutreffend nicht anerkannt.</w:t>
      </w:r>
      <w:r w:rsidRPr="005B543A">
        <w:rPr>
          <w:lang w:val="de-DE"/>
        </w:rPr>
        <w:t xml:space="preserve"> </w:t>
      </w:r>
    </w:p>
    <w:p w14:paraId="036AD086" w14:textId="77777777" w:rsidR="008D7573" w:rsidRPr="00CF5831" w:rsidRDefault="008D7573" w:rsidP="008D7573">
      <w:pPr>
        <w:pStyle w:val="berschrift2"/>
        <w:rPr>
          <w:lang w:val="de-DE"/>
        </w:rPr>
      </w:pPr>
      <w:bookmarkStart w:id="17" w:name="_Hlk169612504"/>
      <w:r w:rsidRPr="00CF5831">
        <w:rPr>
          <w:lang w:val="de-DE"/>
        </w:rPr>
        <w:t>Gewinn aus der Veräußerung zuvor im Rahmen eines Management-Beteiligungsprogramms erworbener Aktien als Arbeitslohn</w:t>
      </w:r>
      <w:bookmarkEnd w:id="17"/>
    </w:p>
    <w:p w14:paraId="33CE6618" w14:textId="77777777" w:rsidR="008D7573" w:rsidRPr="00CF5831" w:rsidRDefault="008D7573" w:rsidP="00085E02">
      <w:pPr>
        <w:jc w:val="both"/>
        <w:rPr>
          <w:lang w:val="de-DE"/>
        </w:rPr>
      </w:pPr>
      <w:r w:rsidRPr="00CF5831">
        <w:rPr>
          <w:lang w:val="de-DE"/>
        </w:rPr>
        <w:t xml:space="preserve">Ein Überschuss aus der Veräußerung zuvor im Rahmen eines Management-Beteiligungsprogramms erworbener Aktien kann unter Berücksichtigung aller Umstände des Einzelfalls durch das Dienstverhältnis - und nicht etwa durch eine davon unabhängige und eigenständige Sonderrechtsbeziehung - veranlasst und damit eine Zuwendung des Arbeitgebers sein. </w:t>
      </w:r>
    </w:p>
    <w:p w14:paraId="102F7027" w14:textId="77777777" w:rsidR="008D7573" w:rsidRDefault="008D7573" w:rsidP="00085E02">
      <w:pPr>
        <w:jc w:val="both"/>
        <w:rPr>
          <w:lang w:val="de-DE"/>
        </w:rPr>
      </w:pPr>
      <w:r w:rsidRPr="00CF5831">
        <w:rPr>
          <w:lang w:val="de-DE"/>
        </w:rPr>
        <w:t xml:space="preserve">Das ist </w:t>
      </w:r>
      <w:r>
        <w:rPr>
          <w:lang w:val="de-DE"/>
        </w:rPr>
        <w:t xml:space="preserve">laut </w:t>
      </w:r>
      <w:r w:rsidRPr="005B543A">
        <w:rPr>
          <w:lang w:val="de-DE"/>
        </w:rPr>
        <w:t xml:space="preserve">Finanzgericht Köln </w:t>
      </w:r>
      <w:r w:rsidRPr="00CF5831">
        <w:rPr>
          <w:lang w:val="de-DE"/>
        </w:rPr>
        <w:t>dann der Fall, wenn die Aktien verbilligt erworben wurden und besondere Umstände aus dem Arbeitsverhältnis Einfluss auf die Veräußerbarkeit und die Wertentwicklung der Aktien hatten. Im Streitfall war das zu bejahen: Es bestand ein Anspruch auf Ausschüttung in Form von Rückkäufen nach Unverfallbarkeit der Aktien und die Abhängigkeit der Höhe des Rückveräußerungswerts der Aktien vom Fortbestehen des Arbeitsverhältnisses.</w:t>
      </w:r>
      <w:r w:rsidRPr="005B543A">
        <w:rPr>
          <w:lang w:val="de-DE"/>
        </w:rPr>
        <w:t xml:space="preserve"> </w:t>
      </w:r>
    </w:p>
    <w:p w14:paraId="06EE3BF2" w14:textId="77777777" w:rsidR="008D7573" w:rsidRPr="00EB77BC" w:rsidRDefault="008D7573" w:rsidP="008D7573">
      <w:pPr>
        <w:pStyle w:val="berschrift1"/>
        <w:rPr>
          <w:lang w:val="de-DE"/>
        </w:rPr>
      </w:pPr>
      <w:r w:rsidRPr="00EB77BC">
        <w:rPr>
          <w:lang w:val="de-DE"/>
        </w:rPr>
        <w:t>Für Umsatzsteuerpflichtige</w:t>
      </w:r>
    </w:p>
    <w:p w14:paraId="7C7E7A18" w14:textId="77777777" w:rsidR="008D7573" w:rsidRPr="00CF5831" w:rsidRDefault="008D7573" w:rsidP="008D7573">
      <w:pPr>
        <w:pStyle w:val="berschrift2"/>
        <w:rPr>
          <w:lang w:val="de-DE"/>
        </w:rPr>
      </w:pPr>
      <w:bookmarkStart w:id="18" w:name="_Hlk169612530"/>
      <w:r w:rsidRPr="00CF5831">
        <w:rPr>
          <w:lang w:val="de-DE"/>
        </w:rPr>
        <w:t>Verlagerung der Steuerschuldnerschaft - Anforderungen an die Person des Leistungsempfängers</w:t>
      </w:r>
      <w:bookmarkEnd w:id="18"/>
    </w:p>
    <w:p w14:paraId="1B1ED9FD" w14:textId="77777777" w:rsidR="008D7573" w:rsidRPr="00CF5831" w:rsidRDefault="008D7573" w:rsidP="00085E02">
      <w:pPr>
        <w:jc w:val="both"/>
        <w:rPr>
          <w:lang w:val="de-DE"/>
        </w:rPr>
      </w:pPr>
      <w:r w:rsidRPr="00CF5831">
        <w:rPr>
          <w:lang w:val="de-DE"/>
        </w:rPr>
        <w:t>Der Bundesfinanzhof hatte zu entscheiden, ob eine Umkehr der Steuerschuldnerschaft auf den Leistungsempfänger voraussetzt, dass dem Leistungsempfänger eine gültige Umsatzsteuer-Identifikationsnummer erteilt wurde und er diese dem Leistenden mitgeteilt hat oder ob der Nachweis der Unternehmereigenschaft des Leistungsempfängers auch auf andere Weise als durch dessen Umsatzsteuer-Identifikationsnummer erbracht werden kann.</w:t>
      </w:r>
    </w:p>
    <w:p w14:paraId="099D8EB6" w14:textId="0E966134" w:rsidR="008D7573" w:rsidRPr="00CF5831" w:rsidRDefault="008D7573" w:rsidP="00085E02">
      <w:pPr>
        <w:jc w:val="both"/>
        <w:rPr>
          <w:lang w:val="de-DE"/>
        </w:rPr>
      </w:pPr>
      <w:r w:rsidRPr="00CF5831">
        <w:rPr>
          <w:lang w:val="de-DE"/>
        </w:rPr>
        <w:t>Fraglich war hier, welche Anforderungen ein im übrigen Gemeinschaftsgebiet ansässiger Unternehmer, der im Inland sonstige Leistungen an Unternehmer und Nichtunternehmer erbringt, zu erfüllen hat, damit er von einer Steuerschuld</w:t>
      </w:r>
      <w:r w:rsidR="00A21957">
        <w:rPr>
          <w:lang w:val="de-DE"/>
        </w:rPr>
        <w:t>-</w:t>
      </w:r>
      <w:proofErr w:type="spellStart"/>
      <w:r w:rsidRPr="00CF5831">
        <w:rPr>
          <w:lang w:val="de-DE"/>
        </w:rPr>
        <w:t>nerschaft</w:t>
      </w:r>
      <w:proofErr w:type="spellEnd"/>
      <w:r w:rsidRPr="00CF5831">
        <w:rPr>
          <w:lang w:val="de-DE"/>
        </w:rPr>
        <w:t xml:space="preserve"> seiner unternehmerischen Leistungsempfänger ausgehen kann.</w:t>
      </w:r>
    </w:p>
    <w:p w14:paraId="7C78A0C0" w14:textId="77777777" w:rsidR="008D7573" w:rsidRDefault="008D7573" w:rsidP="00085E02">
      <w:pPr>
        <w:jc w:val="both"/>
        <w:rPr>
          <w:lang w:val="de-DE"/>
        </w:rPr>
      </w:pPr>
      <w:r w:rsidRPr="00CF5831">
        <w:rPr>
          <w:lang w:val="de-DE"/>
        </w:rPr>
        <w:t>Für die Verlagerung der Steuerschuldnerschaft komm</w:t>
      </w:r>
      <w:r>
        <w:rPr>
          <w:lang w:val="de-DE"/>
        </w:rPr>
        <w:t>t</w:t>
      </w:r>
      <w:r w:rsidRPr="00CF5831">
        <w:rPr>
          <w:lang w:val="de-DE"/>
        </w:rPr>
        <w:t xml:space="preserve"> es nicht auf die Verwendung einer gültigen Umsatzsteuer-Identifikationsnummer durch den Leistungsempfänger an. Die Verlagerung der Steuerschuldnerschaft vom leistenden Unternehmer auf den Leistungsempfänger wirk</w:t>
      </w:r>
      <w:r>
        <w:rPr>
          <w:lang w:val="de-DE"/>
        </w:rPr>
        <w:t>t</w:t>
      </w:r>
      <w:r w:rsidRPr="00CF5831">
        <w:rPr>
          <w:lang w:val="de-DE"/>
        </w:rPr>
        <w:t xml:space="preserve"> zu Gunsten des leistenden Unternehmers und führ</w:t>
      </w:r>
      <w:r>
        <w:rPr>
          <w:lang w:val="de-DE"/>
        </w:rPr>
        <w:t>t</w:t>
      </w:r>
      <w:r w:rsidRPr="00CF5831">
        <w:rPr>
          <w:lang w:val="de-DE"/>
        </w:rPr>
        <w:t xml:space="preserve"> zu einer den leistenden Unternehmer treffenden Feststellungslast. Eine Entscheidung auf Grundlage der Feststellungslast k</w:t>
      </w:r>
      <w:r>
        <w:rPr>
          <w:lang w:val="de-DE"/>
        </w:rPr>
        <w:t>ann</w:t>
      </w:r>
      <w:r w:rsidRPr="00CF5831">
        <w:rPr>
          <w:lang w:val="de-DE"/>
        </w:rPr>
        <w:t xml:space="preserve"> im finanzgerichtlichen Verfahren erst im Falle einer Unaufklärbarkeit des Sachverhalts getroffen werden.</w:t>
      </w:r>
    </w:p>
    <w:p w14:paraId="0E192CAB" w14:textId="77777777" w:rsidR="00FA6DFA" w:rsidRPr="00735C8F" w:rsidRDefault="00FA6DFA" w:rsidP="00FA6DFA">
      <w:pPr>
        <w:pStyle w:val="berschrift2"/>
        <w:rPr>
          <w:lang w:val="de-DE"/>
        </w:rPr>
      </w:pPr>
      <w:bookmarkStart w:id="19" w:name="_Hlk166746981"/>
      <w:r w:rsidRPr="00735C8F">
        <w:rPr>
          <w:lang w:val="de-DE"/>
        </w:rPr>
        <w:t>Zahlungen aufgrund von Abmahnungen bei Urheberrechtsverletzungen umsatzsteuerbar</w:t>
      </w:r>
      <w:bookmarkEnd w:id="19"/>
    </w:p>
    <w:p w14:paraId="76D354B0" w14:textId="77777777" w:rsidR="00FA6DFA" w:rsidRPr="00735C8F" w:rsidRDefault="00FA6DFA" w:rsidP="00085E02">
      <w:pPr>
        <w:jc w:val="both"/>
        <w:rPr>
          <w:lang w:val="de-DE"/>
        </w:rPr>
      </w:pPr>
      <w:r w:rsidRPr="00735C8F">
        <w:rPr>
          <w:lang w:val="de-DE"/>
        </w:rPr>
        <w:t xml:space="preserve">Zahlungen, die an einen Unternehmer aufgrund von urheberrechtlichen oder wettbewerbsrechtlichen Abmahnungen zur Durchsetzung eines Unterlassungsanspruchs geleistet würden, seien umsatzsteuerrechtlich als Entgelt im Rahmen eines umsatzsteuerbaren Leistungsaustauschs zwischen dem Unternehmer und dem von ihm abgemahnten </w:t>
      </w:r>
      <w:proofErr w:type="spellStart"/>
      <w:r w:rsidRPr="00735C8F">
        <w:rPr>
          <w:lang w:val="de-DE"/>
        </w:rPr>
        <w:t>Recht</w:t>
      </w:r>
      <w:r>
        <w:rPr>
          <w:lang w:val="de-DE"/>
        </w:rPr>
        <w:t>e</w:t>
      </w:r>
      <w:r w:rsidRPr="00735C8F">
        <w:rPr>
          <w:lang w:val="de-DE"/>
        </w:rPr>
        <w:t>verletzer</w:t>
      </w:r>
      <w:proofErr w:type="spellEnd"/>
      <w:r w:rsidRPr="00735C8F">
        <w:rPr>
          <w:lang w:val="de-DE"/>
        </w:rPr>
        <w:t xml:space="preserve"> zu qualifizieren.</w:t>
      </w:r>
    </w:p>
    <w:p w14:paraId="2464E976" w14:textId="77777777" w:rsidR="00FA6DFA" w:rsidRDefault="00FA6DFA" w:rsidP="00085E02">
      <w:pPr>
        <w:jc w:val="both"/>
        <w:rPr>
          <w:lang w:val="de-DE"/>
        </w:rPr>
      </w:pPr>
      <w:r w:rsidRPr="00735C8F">
        <w:rPr>
          <w:lang w:val="de-DE"/>
        </w:rPr>
        <w:t xml:space="preserve">Zum steuerbaren Entgelt für die Leistung des Abmahnenden gehören alle hierfür erhaltenen Zahlungen. Unerheblich für die Einordnung als steuerbares Entgelt </w:t>
      </w:r>
      <w:r>
        <w:rPr>
          <w:lang w:val="de-DE"/>
        </w:rPr>
        <w:t>ist</w:t>
      </w:r>
      <w:r w:rsidRPr="00735C8F">
        <w:rPr>
          <w:lang w:val="de-DE"/>
        </w:rPr>
        <w:t xml:space="preserve"> die Bezeichnung der zu leistenden Zahlungen im Abmahnschreiben oder ob die Zahlungen als Schadensersatz geltend gemacht werden können. Maßgeblich </w:t>
      </w:r>
      <w:r>
        <w:rPr>
          <w:lang w:val="de-DE"/>
        </w:rPr>
        <w:t>ist</w:t>
      </w:r>
      <w:r w:rsidRPr="00735C8F">
        <w:rPr>
          <w:lang w:val="de-DE"/>
        </w:rPr>
        <w:t xml:space="preserve"> vielmehr, ob die Zahlungen dazu </w:t>
      </w:r>
      <w:r w:rsidRPr="00735C8F">
        <w:rPr>
          <w:lang w:val="de-DE"/>
        </w:rPr>
        <w:lastRenderedPageBreak/>
        <w:t>dienen, den Abmahnenden klaglos zu stellen und dadurch ein urheberrechtliches Klageverfahren zu vermeiden.</w:t>
      </w:r>
      <w:r>
        <w:rPr>
          <w:lang w:val="de-DE"/>
        </w:rPr>
        <w:t xml:space="preserve"> </w:t>
      </w:r>
      <w:r w:rsidRPr="00735C8F">
        <w:rPr>
          <w:lang w:val="de-DE"/>
        </w:rPr>
        <w:t>So entschied das Finanzgericht Berlin-Brandenburg.</w:t>
      </w:r>
    </w:p>
    <w:p w14:paraId="4E5D21B8" w14:textId="77777777" w:rsidR="00FA6DFA" w:rsidRPr="00351C49" w:rsidRDefault="00FA6DFA" w:rsidP="00FA6DFA">
      <w:pPr>
        <w:pStyle w:val="HinweisFett"/>
      </w:pPr>
      <w:r w:rsidRPr="00351C49">
        <w:t>Hinweis</w:t>
      </w:r>
    </w:p>
    <w:p w14:paraId="1586840D" w14:textId="156F54AB" w:rsidR="00FA6DFA" w:rsidRPr="00EB77BC" w:rsidRDefault="00FA6DFA" w:rsidP="00FA6DFA">
      <w:pPr>
        <w:pStyle w:val="Hinweis"/>
        <w:rPr>
          <w:lang w:val="de-DE"/>
        </w:rPr>
      </w:pPr>
      <w:bookmarkStart w:id="20" w:name="_Hlk166846520"/>
      <w:r w:rsidRPr="00351C49">
        <w:rPr>
          <w:lang w:val="de-DE"/>
        </w:rPr>
        <w:t xml:space="preserve">Erfolgt die Abmahnung unberechtigt, liegt wohl bei einem offenen Steuerausweis ein Fall von unberechtigtem Steuerausweis </w:t>
      </w:r>
      <w:r>
        <w:rPr>
          <w:lang w:val="de-DE"/>
        </w:rPr>
        <w:t>(</w:t>
      </w:r>
      <w:r w:rsidRPr="00351C49">
        <w:rPr>
          <w:lang w:val="de-DE"/>
        </w:rPr>
        <w:t xml:space="preserve">gemäß des § 14c </w:t>
      </w:r>
      <w:r>
        <w:rPr>
          <w:lang w:val="de-DE"/>
        </w:rPr>
        <w:br/>
      </w:r>
      <w:r w:rsidRPr="00351C49">
        <w:rPr>
          <w:lang w:val="de-DE"/>
        </w:rPr>
        <w:t>Abs. 2 UstG</w:t>
      </w:r>
      <w:r>
        <w:rPr>
          <w:lang w:val="de-DE"/>
        </w:rPr>
        <w:t>)</w:t>
      </w:r>
      <w:r w:rsidRPr="00351C49">
        <w:rPr>
          <w:lang w:val="de-DE"/>
        </w:rPr>
        <w:t xml:space="preserve"> vor.</w:t>
      </w:r>
      <w:r>
        <w:rPr>
          <w:lang w:val="de-DE"/>
        </w:rPr>
        <w:t xml:space="preserve"> </w:t>
      </w:r>
      <w:r w:rsidRPr="00351C49">
        <w:rPr>
          <w:lang w:val="de-DE"/>
        </w:rPr>
        <w:t>Wird als Folge einer berechtigten Abmahnung Schadenersatz geltend gemacht, ist dieser nicht steuerbar, da kein Leistungsaustausch vorliegt.</w:t>
      </w:r>
      <w:bookmarkEnd w:id="20"/>
    </w:p>
    <w:p w14:paraId="3ABBCE47" w14:textId="77777777" w:rsidR="008D7573" w:rsidRDefault="008D7573" w:rsidP="008D7573">
      <w:pPr>
        <w:pStyle w:val="berschrift1"/>
        <w:rPr>
          <w:lang w:val="de-DE"/>
        </w:rPr>
      </w:pPr>
      <w:bookmarkStart w:id="21" w:name="_Hlk169611979"/>
      <w:r>
        <w:rPr>
          <w:lang w:val="de-DE"/>
        </w:rPr>
        <w:t>Arbeitsrecht</w:t>
      </w:r>
    </w:p>
    <w:p w14:paraId="51E53C41" w14:textId="77777777" w:rsidR="008D7573" w:rsidRPr="002E4DD2" w:rsidRDefault="008D7573" w:rsidP="008D7573">
      <w:pPr>
        <w:pStyle w:val="berschrift2"/>
        <w:rPr>
          <w:lang w:val="de-DE"/>
        </w:rPr>
      </w:pPr>
      <w:bookmarkStart w:id="22" w:name="_Hlk169612560"/>
      <w:r w:rsidRPr="002E4DD2">
        <w:rPr>
          <w:lang w:val="de-DE"/>
        </w:rPr>
        <w:t>Zugang einer Kündigung: Einwurf-Einschreiben nur mit Auslieferungsbeleg</w:t>
      </w:r>
      <w:bookmarkEnd w:id="22"/>
      <w:r w:rsidRPr="002E4DD2">
        <w:rPr>
          <w:lang w:val="de-DE"/>
        </w:rPr>
        <w:t xml:space="preserve"> </w:t>
      </w:r>
    </w:p>
    <w:p w14:paraId="624567DF" w14:textId="77777777" w:rsidR="008D7573" w:rsidRDefault="008D7573" w:rsidP="00085E02">
      <w:pPr>
        <w:jc w:val="both"/>
        <w:rPr>
          <w:lang w:val="de-DE"/>
        </w:rPr>
      </w:pPr>
      <w:r w:rsidRPr="002E4DD2">
        <w:rPr>
          <w:lang w:val="de-DE"/>
        </w:rPr>
        <w:t>Den Zugang einer Kündigung gerichtsfest zu beweisen,</w:t>
      </w:r>
      <w:r>
        <w:rPr>
          <w:lang w:val="de-DE"/>
        </w:rPr>
        <w:t xml:space="preserve"> </w:t>
      </w:r>
      <w:r w:rsidRPr="002E4DD2">
        <w:rPr>
          <w:lang w:val="de-DE"/>
        </w:rPr>
        <w:t>erfordert l</w:t>
      </w:r>
      <w:r>
        <w:rPr>
          <w:lang w:val="de-DE"/>
        </w:rPr>
        <w:t>au</w:t>
      </w:r>
      <w:r w:rsidRPr="002E4DD2">
        <w:rPr>
          <w:lang w:val="de-DE"/>
        </w:rPr>
        <w:t>t</w:t>
      </w:r>
      <w:r>
        <w:rPr>
          <w:lang w:val="de-DE"/>
        </w:rPr>
        <w:t xml:space="preserve"> </w:t>
      </w:r>
      <w:r w:rsidRPr="002E4DD2">
        <w:rPr>
          <w:lang w:val="de-DE"/>
        </w:rPr>
        <w:t>L</w:t>
      </w:r>
      <w:r>
        <w:rPr>
          <w:lang w:val="de-DE"/>
        </w:rPr>
        <w:t>andesarbeitsgericht</w:t>
      </w:r>
      <w:r w:rsidRPr="002E4DD2">
        <w:rPr>
          <w:lang w:val="de-DE"/>
        </w:rPr>
        <w:t xml:space="preserve"> Baden-Württemberg den Auslieferungsbeleg der Post. Einlieferungsbeleg und Sendestatus allein reichen nicht. </w:t>
      </w:r>
    </w:p>
    <w:p w14:paraId="23C8A0AD" w14:textId="77777777" w:rsidR="008C43B8" w:rsidRPr="00735C8F" w:rsidRDefault="008C43B8" w:rsidP="008C43B8">
      <w:pPr>
        <w:pStyle w:val="berschrift2"/>
        <w:rPr>
          <w:lang w:val="de-DE"/>
        </w:rPr>
      </w:pPr>
      <w:bookmarkStart w:id="23" w:name="_Hlk166747050"/>
      <w:r w:rsidRPr="00735C8F">
        <w:rPr>
          <w:lang w:val="de-DE"/>
        </w:rPr>
        <w:t>Kündigung eines Schwerbehinderten während der Probezeit</w:t>
      </w:r>
      <w:bookmarkEnd w:id="23"/>
    </w:p>
    <w:p w14:paraId="62C8D7F6" w14:textId="77777777" w:rsidR="008C43B8" w:rsidRPr="00735C8F" w:rsidRDefault="008C43B8" w:rsidP="00085E02">
      <w:pPr>
        <w:jc w:val="both"/>
        <w:rPr>
          <w:lang w:val="de-DE"/>
        </w:rPr>
      </w:pPr>
      <w:r w:rsidRPr="00735C8F">
        <w:rPr>
          <w:lang w:val="de-DE"/>
        </w:rPr>
        <w:t>Der mit einem Grad der Behinderung von 80 schwerbehinderte Kläger war seit dem 01.01.2023 bei der beklagten Kommune als „Beschäftigter im Bauhof“ beschäftigt und wurde in verschiedenen Kolonnen des Bauhofs eingesetzt. Ab Ende Mai war der Kläger arbeitsunfähig. Am 22.06.2023 kündigte die beklagte Arbeitgeberin das Arbeitsverhältnis zum 31.07.2023.</w:t>
      </w:r>
    </w:p>
    <w:p w14:paraId="4E11E905" w14:textId="77777777" w:rsidR="008C43B8" w:rsidRPr="00735C8F" w:rsidRDefault="008C43B8" w:rsidP="00085E02">
      <w:pPr>
        <w:jc w:val="both"/>
        <w:rPr>
          <w:lang w:val="de-DE"/>
        </w:rPr>
      </w:pPr>
      <w:r w:rsidRPr="00735C8F">
        <w:rPr>
          <w:lang w:val="de-DE"/>
        </w:rPr>
        <w:t xml:space="preserve">Das Arbeitsgerichts Köln entschied, dass die fristgerechte Kündigung des schwerbehinderten Mitarbeiters während der Probezeit rechtswidrig </w:t>
      </w:r>
      <w:r>
        <w:rPr>
          <w:lang w:val="de-DE"/>
        </w:rPr>
        <w:t>ist</w:t>
      </w:r>
      <w:r w:rsidRPr="00735C8F">
        <w:rPr>
          <w:lang w:val="de-DE"/>
        </w:rPr>
        <w:t>, da sie eine Diskriminierung wegen der Behinderung darstell</w:t>
      </w:r>
      <w:r>
        <w:rPr>
          <w:lang w:val="de-DE"/>
        </w:rPr>
        <w:t>t</w:t>
      </w:r>
      <w:r w:rsidRPr="00735C8F">
        <w:rPr>
          <w:lang w:val="de-DE"/>
        </w:rPr>
        <w:t xml:space="preserve">. Die Kündigung des Arbeitsverhältnisses durch die Beklagte </w:t>
      </w:r>
      <w:r>
        <w:rPr>
          <w:lang w:val="de-DE"/>
        </w:rPr>
        <w:t>ist</w:t>
      </w:r>
      <w:r w:rsidRPr="00735C8F">
        <w:rPr>
          <w:lang w:val="de-DE"/>
        </w:rPr>
        <w:t xml:space="preserve"> nicht wirksam. Der Arbeitgeber </w:t>
      </w:r>
      <w:r>
        <w:rPr>
          <w:lang w:val="de-DE"/>
        </w:rPr>
        <w:t>ist</w:t>
      </w:r>
      <w:r w:rsidRPr="00735C8F">
        <w:rPr>
          <w:lang w:val="de-DE"/>
        </w:rPr>
        <w:t xml:space="preserve"> auch während der Probezeit verpflichtet, ein Präventionsverfahren durchzuführen</w:t>
      </w:r>
      <w:r>
        <w:rPr>
          <w:lang w:val="de-DE"/>
        </w:rPr>
        <w:t xml:space="preserve">, in dessen Rahmen </w:t>
      </w:r>
      <w:r w:rsidRPr="00735C8F">
        <w:rPr>
          <w:lang w:val="de-DE"/>
        </w:rPr>
        <w:t>die Schwerbehindertenvertretung sowie das Integrationsamt möglichst frühzeitig als Präventionsmaßnahme einzuschalten sind, wenn Schwierigkeiten im Arbeitsverhältnis, die zur Gefährdung dieses Verhältnisses führen können, eintreten. Dies ha</w:t>
      </w:r>
      <w:r>
        <w:rPr>
          <w:lang w:val="de-DE"/>
        </w:rPr>
        <w:t>t</w:t>
      </w:r>
      <w:r w:rsidRPr="00735C8F">
        <w:rPr>
          <w:lang w:val="de-DE"/>
        </w:rPr>
        <w:t xml:space="preserve"> die Arbeitgeberin im Streitfall nicht getan. </w:t>
      </w:r>
    </w:p>
    <w:p w14:paraId="7FA68794" w14:textId="77777777" w:rsidR="00FA6DFA" w:rsidRPr="00735C8F" w:rsidRDefault="00FA6DFA" w:rsidP="00FA6DFA">
      <w:pPr>
        <w:pStyle w:val="berschrift2"/>
        <w:rPr>
          <w:lang w:val="de-DE"/>
        </w:rPr>
      </w:pPr>
      <w:bookmarkStart w:id="24" w:name="_Hlk166747094"/>
      <w:r w:rsidRPr="00735C8F">
        <w:rPr>
          <w:lang w:val="de-DE"/>
        </w:rPr>
        <w:t>Ungenehmigtes Posten von Bildern vom Arbeitsplatz kann Kündigungsgrund sein</w:t>
      </w:r>
      <w:bookmarkEnd w:id="24"/>
    </w:p>
    <w:p w14:paraId="32AC2843" w14:textId="77777777" w:rsidR="00FA6DFA" w:rsidRPr="00735C8F" w:rsidRDefault="00FA6DFA" w:rsidP="00085E02">
      <w:pPr>
        <w:jc w:val="both"/>
        <w:rPr>
          <w:lang w:val="de-DE"/>
        </w:rPr>
      </w:pPr>
      <w:r w:rsidRPr="00735C8F">
        <w:rPr>
          <w:lang w:val="de-DE"/>
        </w:rPr>
        <w:t>Ein Frachtpilot hatte Fotos und Videos von seiner Tätigkeit in sozialen Netzwerken wie Instagram, Facebook oder YouTube geteilt, obwohl es im Unternehmen u. a. eine Geheimhaltungsverpflichtung sowie bestimmte Zustimmungserfordernisse gab. Der Pilot hatte eine Nebentätigkeit unter dem Stichwort „Promotion, Modeln (Blogger)“ beantragt und diese auch genehmigt bekommen. Er ging daher davon aus, dass seine Veröffentlichungen durch diese Genehmigung abgedeckt seien. Der Pilot teilte z. B. Fotos aus dem Cockpit, von sich bei der Arbeit oder in Dienstuniform. Der Arbeitgeber kündigte ihm daraufhin das Arbeitsverhältnis.</w:t>
      </w:r>
    </w:p>
    <w:p w14:paraId="02296D7B" w14:textId="2DF2FCCE" w:rsidR="008C43B8" w:rsidRPr="00FA6DFA" w:rsidRDefault="00FA6DFA" w:rsidP="00085E02">
      <w:pPr>
        <w:jc w:val="both"/>
        <w:rPr>
          <w:lang w:val="de-DE"/>
        </w:rPr>
      </w:pPr>
      <w:r w:rsidRPr="00735C8F">
        <w:rPr>
          <w:lang w:val="de-DE"/>
        </w:rPr>
        <w:t>Das Landesarbeitsgericht hielt die Kündigung für wirksam. Das ungenehmigte Posten von Bildern vom Arbeitsplatz stell</w:t>
      </w:r>
      <w:r>
        <w:rPr>
          <w:lang w:val="de-DE"/>
        </w:rPr>
        <w:t>t</w:t>
      </w:r>
      <w:r w:rsidRPr="00735C8F">
        <w:rPr>
          <w:lang w:val="de-DE"/>
        </w:rPr>
        <w:t xml:space="preserve"> einen wichtigen Grund für eine Kündigung dar. Dem Arbeitgeber steh</w:t>
      </w:r>
      <w:r>
        <w:rPr>
          <w:lang w:val="de-DE"/>
        </w:rPr>
        <w:t>t</w:t>
      </w:r>
      <w:r w:rsidRPr="00735C8F">
        <w:rPr>
          <w:lang w:val="de-DE"/>
        </w:rPr>
        <w:t xml:space="preserve"> das Recht am eigenen Bild und Wort zu. Dieses Recht ha</w:t>
      </w:r>
      <w:r>
        <w:rPr>
          <w:lang w:val="de-DE"/>
        </w:rPr>
        <w:t>t</w:t>
      </w:r>
      <w:r w:rsidRPr="00735C8F">
        <w:rPr>
          <w:lang w:val="de-DE"/>
        </w:rPr>
        <w:t xml:space="preserve"> der Kläger durch die Postings verletzt. Zudem ha</w:t>
      </w:r>
      <w:r>
        <w:rPr>
          <w:lang w:val="de-DE"/>
        </w:rPr>
        <w:t>t</w:t>
      </w:r>
      <w:r w:rsidRPr="00735C8F">
        <w:rPr>
          <w:lang w:val="de-DE"/>
        </w:rPr>
        <w:t xml:space="preserve"> er gegen seine umfassende Verschwiegenheitspflicht verstoßen, da keine Erlaubnis für derartige Veröffentlichungen vorlag. </w:t>
      </w:r>
    </w:p>
    <w:bookmarkEnd w:id="21"/>
    <w:p w14:paraId="1BAEC32F" w14:textId="77777777" w:rsidR="008D7573" w:rsidRPr="00EB77BC" w:rsidRDefault="008D7573" w:rsidP="008D7573">
      <w:pPr>
        <w:pStyle w:val="berschrift1"/>
        <w:rPr>
          <w:lang w:val="de-DE"/>
        </w:rPr>
      </w:pPr>
      <w:r w:rsidRPr="00EB77BC">
        <w:rPr>
          <w:lang w:val="de-DE"/>
        </w:rPr>
        <w:lastRenderedPageBreak/>
        <w:t>Sonstige</w:t>
      </w:r>
      <w:r>
        <w:rPr>
          <w:lang w:val="de-DE"/>
        </w:rPr>
        <w:t>s</w:t>
      </w:r>
    </w:p>
    <w:p w14:paraId="1A82AE81" w14:textId="77777777" w:rsidR="008D7573" w:rsidRPr="00EB77BC" w:rsidRDefault="008D7573" w:rsidP="008D7573">
      <w:pPr>
        <w:pStyle w:val="berschrift2"/>
        <w:rPr>
          <w:lang w:val="de-DE"/>
        </w:rPr>
      </w:pPr>
      <w:bookmarkStart w:id="25" w:name="_Hlk169612581"/>
      <w:proofErr w:type="spellStart"/>
      <w:r w:rsidRPr="00EB77BC">
        <w:rPr>
          <w:lang w:val="de-DE"/>
        </w:rPr>
        <w:t>Drohnenbefliegung</w:t>
      </w:r>
      <w:proofErr w:type="spellEnd"/>
      <w:r w:rsidRPr="00EB77BC">
        <w:rPr>
          <w:lang w:val="de-DE"/>
        </w:rPr>
        <w:t xml:space="preserve"> eines Wohngrundstücks zur Beitragserhebung ist rechtswidrig</w:t>
      </w:r>
      <w:bookmarkEnd w:id="25"/>
    </w:p>
    <w:p w14:paraId="226D48D5" w14:textId="77777777" w:rsidR="008D7573" w:rsidRPr="00EB77BC" w:rsidRDefault="008D7573" w:rsidP="00085E02">
      <w:pPr>
        <w:jc w:val="both"/>
        <w:rPr>
          <w:lang w:val="de-DE"/>
        </w:rPr>
      </w:pPr>
      <w:r w:rsidRPr="00EB77BC">
        <w:rPr>
          <w:lang w:val="de-DE"/>
        </w:rPr>
        <w:t xml:space="preserve">Der Bayerische Verwaltungsgerichtshof entschied, dass die geplante </w:t>
      </w:r>
      <w:proofErr w:type="spellStart"/>
      <w:r w:rsidRPr="00EB77BC">
        <w:rPr>
          <w:lang w:val="de-DE"/>
        </w:rPr>
        <w:t>Drohnenbefliegung</w:t>
      </w:r>
      <w:proofErr w:type="spellEnd"/>
      <w:r w:rsidRPr="00EB77BC">
        <w:rPr>
          <w:lang w:val="de-DE"/>
        </w:rPr>
        <w:t xml:space="preserve"> eines Wohngrundstücks zur Ermittlung der Geschossfläche rechtswidrig ist.</w:t>
      </w:r>
    </w:p>
    <w:p w14:paraId="558FCF2C" w14:textId="77777777" w:rsidR="008D7573" w:rsidRPr="00EB77BC" w:rsidRDefault="008D7573" w:rsidP="00085E02">
      <w:pPr>
        <w:jc w:val="both"/>
        <w:rPr>
          <w:lang w:val="de-DE"/>
        </w:rPr>
      </w:pPr>
      <w:r w:rsidRPr="00EB77BC">
        <w:rPr>
          <w:lang w:val="de-DE"/>
        </w:rPr>
        <w:t xml:space="preserve">Die Stadt Neumarkt-Sankt Veit plante ursprünglich für Oktober 2023 eine </w:t>
      </w:r>
      <w:proofErr w:type="spellStart"/>
      <w:r w:rsidRPr="00EB77BC">
        <w:rPr>
          <w:lang w:val="de-DE"/>
        </w:rPr>
        <w:t>Drohnenbefliegung</w:t>
      </w:r>
      <w:proofErr w:type="spellEnd"/>
      <w:r w:rsidRPr="00EB77BC">
        <w:rPr>
          <w:lang w:val="de-DE"/>
        </w:rPr>
        <w:t xml:space="preserve"> verschiedener Wohngrundstücke, um die Geschossfläche der dort vorhandenen Gebäude zu bestimmen. Die dadurch erlangten Daten sollten zur Berechnung des sog. Herstellungsbeitrags dienen, der für den Anschluss von Grundstücken an die gemeindliche Abwasserentsorgung erhoben wird. Nachdem der Antragsteller, dem ein Wohngrundstück im Stadtgebiet gehört, über die geplante </w:t>
      </w:r>
      <w:proofErr w:type="spellStart"/>
      <w:r w:rsidRPr="00EB77BC">
        <w:rPr>
          <w:lang w:val="de-DE"/>
        </w:rPr>
        <w:t>Drohnenbefliegung</w:t>
      </w:r>
      <w:proofErr w:type="spellEnd"/>
      <w:r w:rsidRPr="00EB77BC">
        <w:rPr>
          <w:lang w:val="de-DE"/>
        </w:rPr>
        <w:t xml:space="preserve"> informiert worden war, wandte er sich an das Verwaltungsgericht München, das seinem Eilantrag stattgab. Gegen diesen Beschluss legte die Stadt Beschwerde zum Bayerischen Verwaltungsgerichtshof ein.</w:t>
      </w:r>
    </w:p>
    <w:p w14:paraId="090BA2E1" w14:textId="77777777" w:rsidR="008D7573" w:rsidRPr="00EB77BC" w:rsidRDefault="008D7573" w:rsidP="008D7573">
      <w:pPr>
        <w:pStyle w:val="berschrift1"/>
        <w:rPr>
          <w:lang w:val="de-DE"/>
        </w:rPr>
      </w:pPr>
      <w:r w:rsidRPr="00EB77BC">
        <w:rPr>
          <w:lang w:val="de-DE"/>
        </w:rPr>
        <w:t>Gesetzgebung</w:t>
      </w:r>
    </w:p>
    <w:p w14:paraId="7AF33BAF" w14:textId="77777777" w:rsidR="008C43B8" w:rsidRPr="00735C8F" w:rsidRDefault="008C43B8" w:rsidP="008C43B8">
      <w:pPr>
        <w:pStyle w:val="berschrift2"/>
        <w:rPr>
          <w:lang w:val="de-DE"/>
        </w:rPr>
      </w:pPr>
      <w:bookmarkStart w:id="26" w:name="_Hlk166747212"/>
      <w:bookmarkStart w:id="27" w:name="_Hlk169612601"/>
      <w:r w:rsidRPr="00735C8F">
        <w:rPr>
          <w:lang w:val="de-DE"/>
        </w:rPr>
        <w:t>Mindestlohn in der Altenpflege steigt</w:t>
      </w:r>
      <w:bookmarkEnd w:id="26"/>
    </w:p>
    <w:p w14:paraId="6045A27B" w14:textId="77777777" w:rsidR="008C43B8" w:rsidRPr="00735C8F" w:rsidRDefault="008C43B8" w:rsidP="00085E02">
      <w:pPr>
        <w:jc w:val="both"/>
        <w:rPr>
          <w:lang w:val="de-DE"/>
        </w:rPr>
      </w:pPr>
      <w:r w:rsidRPr="00735C8F">
        <w:rPr>
          <w:lang w:val="de-DE"/>
        </w:rPr>
        <w:t xml:space="preserve">Zum </w:t>
      </w:r>
      <w:r>
        <w:rPr>
          <w:lang w:val="de-DE"/>
        </w:rPr>
        <w:t>0</w:t>
      </w:r>
      <w:r w:rsidRPr="00735C8F">
        <w:rPr>
          <w:lang w:val="de-DE"/>
        </w:rPr>
        <w:t>1.</w:t>
      </w:r>
      <w:r>
        <w:rPr>
          <w:lang w:val="de-DE"/>
        </w:rPr>
        <w:t xml:space="preserve">05.2024 ist </w:t>
      </w:r>
      <w:r w:rsidRPr="00735C8F">
        <w:rPr>
          <w:lang w:val="de-DE"/>
        </w:rPr>
        <w:t>der Pflegemindestlohn</w:t>
      </w:r>
      <w:r>
        <w:rPr>
          <w:lang w:val="de-DE"/>
        </w:rPr>
        <w:t xml:space="preserve"> gestiegen</w:t>
      </w:r>
      <w:r w:rsidRPr="00735C8F">
        <w:rPr>
          <w:lang w:val="de-DE"/>
        </w:rPr>
        <w:t xml:space="preserve">: Hilfskräfte erhalten künftig mindestens 15,50 Euro brutto pro Stunde, qualifizierte Pflegehilfskräfte 16,50 Euro und Pflegefachkräfte 19,50 Euro. Eine weitere Erhöhung der Mindestlöhne in der Altenpflege soll dann zum </w:t>
      </w:r>
      <w:r>
        <w:rPr>
          <w:lang w:val="de-DE"/>
        </w:rPr>
        <w:t>0</w:t>
      </w:r>
      <w:r w:rsidRPr="00735C8F">
        <w:rPr>
          <w:lang w:val="de-DE"/>
        </w:rPr>
        <w:t>1.</w:t>
      </w:r>
      <w:r>
        <w:rPr>
          <w:lang w:val="de-DE"/>
        </w:rPr>
        <w:t>07.</w:t>
      </w:r>
      <w:r w:rsidRPr="00735C8F">
        <w:rPr>
          <w:lang w:val="de-DE"/>
        </w:rPr>
        <w:t>2025 folgen.</w:t>
      </w:r>
      <w:r>
        <w:rPr>
          <w:lang w:val="de-DE"/>
        </w:rPr>
        <w:t xml:space="preserve"> </w:t>
      </w:r>
    </w:p>
    <w:p w14:paraId="6A7736E7" w14:textId="77777777" w:rsidR="008C43B8" w:rsidRPr="00735C8F" w:rsidRDefault="008C43B8" w:rsidP="008C43B8">
      <w:pPr>
        <w:pStyle w:val="berschrift2"/>
        <w:rPr>
          <w:lang w:val="de-DE"/>
        </w:rPr>
      </w:pPr>
      <w:bookmarkStart w:id="28" w:name="_Hlk166747228"/>
      <w:r w:rsidRPr="00735C8F">
        <w:rPr>
          <w:lang w:val="de-DE"/>
        </w:rPr>
        <w:t xml:space="preserve">Renten steigen </w:t>
      </w:r>
      <w:r>
        <w:rPr>
          <w:lang w:val="de-DE"/>
        </w:rPr>
        <w:t>ab</w:t>
      </w:r>
      <w:r w:rsidRPr="00735C8F">
        <w:rPr>
          <w:lang w:val="de-DE"/>
        </w:rPr>
        <w:t xml:space="preserve"> Juli erneut deutlich</w:t>
      </w:r>
      <w:bookmarkEnd w:id="28"/>
    </w:p>
    <w:p w14:paraId="7A821D2C" w14:textId="77777777" w:rsidR="008C43B8" w:rsidRPr="00735C8F" w:rsidRDefault="008C43B8" w:rsidP="00085E02">
      <w:pPr>
        <w:jc w:val="both"/>
        <w:rPr>
          <w:lang w:val="de-DE"/>
        </w:rPr>
      </w:pPr>
      <w:r w:rsidRPr="00735C8F">
        <w:rPr>
          <w:lang w:val="de-DE"/>
        </w:rPr>
        <w:t xml:space="preserve">Zum </w:t>
      </w:r>
      <w:r>
        <w:rPr>
          <w:lang w:val="de-DE"/>
        </w:rPr>
        <w:t>0</w:t>
      </w:r>
      <w:r w:rsidRPr="00735C8F">
        <w:rPr>
          <w:lang w:val="de-DE"/>
        </w:rPr>
        <w:t>1.</w:t>
      </w:r>
      <w:r>
        <w:rPr>
          <w:lang w:val="de-DE"/>
        </w:rPr>
        <w:t>07.2024</w:t>
      </w:r>
      <w:r w:rsidRPr="00735C8F">
        <w:rPr>
          <w:lang w:val="de-DE"/>
        </w:rPr>
        <w:t xml:space="preserve"> erhöhen sich die Renten um 4,57 </w:t>
      </w:r>
      <w:r>
        <w:rPr>
          <w:lang w:val="de-DE"/>
        </w:rPr>
        <w:t>%</w:t>
      </w:r>
      <w:r w:rsidRPr="00735C8F">
        <w:rPr>
          <w:lang w:val="de-DE"/>
        </w:rPr>
        <w:t>. Die Bundesregierung hat dazu eine entsprechende Verordnung beschlossen.</w:t>
      </w:r>
      <w:r>
        <w:rPr>
          <w:lang w:val="de-DE"/>
        </w:rPr>
        <w:t xml:space="preserve"> </w:t>
      </w:r>
    </w:p>
    <w:p w14:paraId="1E7447B0" w14:textId="77777777" w:rsidR="008D7573" w:rsidRPr="00EB77BC" w:rsidRDefault="008D7573" w:rsidP="008D7573">
      <w:pPr>
        <w:pStyle w:val="berschrift2"/>
        <w:rPr>
          <w:lang w:val="de-DE"/>
        </w:rPr>
      </w:pPr>
      <w:r w:rsidRPr="00EB77BC">
        <w:rPr>
          <w:lang w:val="de-DE"/>
        </w:rPr>
        <w:t xml:space="preserve">Rat der EU </w:t>
      </w:r>
      <w:r>
        <w:rPr>
          <w:lang w:val="de-DE"/>
        </w:rPr>
        <w:t xml:space="preserve">beschließt </w:t>
      </w:r>
      <w:r w:rsidRPr="00EB77BC">
        <w:rPr>
          <w:lang w:val="de-DE"/>
        </w:rPr>
        <w:t xml:space="preserve">Gesetz über künstliche Intelligenz (KI) </w:t>
      </w:r>
      <w:bookmarkEnd w:id="27"/>
    </w:p>
    <w:p w14:paraId="6DEEFC62" w14:textId="77777777" w:rsidR="008D7573" w:rsidRPr="00EB77BC" w:rsidRDefault="008D7573" w:rsidP="00085E02">
      <w:pPr>
        <w:jc w:val="both"/>
        <w:rPr>
          <w:lang w:val="de-DE"/>
        </w:rPr>
      </w:pPr>
      <w:r w:rsidRPr="00EB77BC">
        <w:rPr>
          <w:lang w:val="de-DE"/>
        </w:rPr>
        <w:t>Am 21.05.2024 hat der Rat der EU das sog</w:t>
      </w:r>
      <w:r>
        <w:rPr>
          <w:lang w:val="de-DE"/>
        </w:rPr>
        <w:t>.</w:t>
      </w:r>
      <w:r w:rsidRPr="00EB77BC">
        <w:rPr>
          <w:lang w:val="de-DE"/>
        </w:rPr>
        <w:t xml:space="preserve"> Gesetz über künstliche Intelligenz</w:t>
      </w:r>
      <w:r>
        <w:rPr>
          <w:lang w:val="de-DE"/>
        </w:rPr>
        <w:t xml:space="preserve"> verabschiedet</w:t>
      </w:r>
      <w:r w:rsidRPr="00EB77BC">
        <w:rPr>
          <w:lang w:val="de-DE"/>
        </w:rPr>
        <w:t xml:space="preserve">. Die Gesetzgebung folgt einem „risikobasierten“ Ansatz, was bedeutet, dass die Regeln umso strenger sind, je höher das Risiko ist, der Gesellschaft Schaden zuzufügen. </w:t>
      </w:r>
    </w:p>
    <w:p w14:paraId="04552674" w14:textId="77777777" w:rsidR="008D7573" w:rsidRPr="00EB77BC" w:rsidRDefault="008D7573" w:rsidP="00085E02">
      <w:pPr>
        <w:jc w:val="both"/>
        <w:rPr>
          <w:lang w:val="de-DE"/>
        </w:rPr>
      </w:pPr>
      <w:r w:rsidRPr="00EB77BC">
        <w:rPr>
          <w:lang w:val="de-DE"/>
        </w:rPr>
        <w:t>Das neue Gesetz zielt darauf ab, die Entwicklung und Einführung sicherer und vertrauenswürdiger KI-Systeme im gesamten EU-Binnenmarkt sowohl durch private als auch öffentliche Akteure zu fördern. Gleichzeitig soll die Achtung der Grundrechte der EU-Bürger sichergestellt und Investitionen und Innovationen im Bereich der künstlichen Intelligenz in Europa gefördert werden. Das KI-Gesetz gilt nur für Bereiche des EU-Rechts und sieht Ausnahmen etwa für Systeme vor, die ausschließlich für Militär- und Verteidigungszwecke sowie für Forschungszwecke genutzt werden.</w:t>
      </w:r>
    </w:p>
    <w:p w14:paraId="51B0E484" w14:textId="77777777" w:rsidR="008D7573" w:rsidRPr="00EB77BC" w:rsidRDefault="008D7573" w:rsidP="008D7573">
      <w:pPr>
        <w:pStyle w:val="berschrift2"/>
        <w:rPr>
          <w:lang w:val="de-DE"/>
        </w:rPr>
      </w:pPr>
      <w:bookmarkStart w:id="29" w:name="_Hlk169612617"/>
      <w:r w:rsidRPr="00EB77BC">
        <w:rPr>
          <w:lang w:val="de-DE"/>
        </w:rPr>
        <w:t>Regeln zur europäischen digitalen Identität in Kraft: Digitale Brieftasche kommt 2026</w:t>
      </w:r>
      <w:bookmarkEnd w:id="29"/>
    </w:p>
    <w:p w14:paraId="0A3B7486" w14:textId="77777777" w:rsidR="008D7573" w:rsidRPr="00EB77BC" w:rsidRDefault="008D7573" w:rsidP="00085E02">
      <w:pPr>
        <w:jc w:val="both"/>
        <w:rPr>
          <w:lang w:val="de-DE"/>
        </w:rPr>
      </w:pPr>
      <w:r w:rsidRPr="00EB77BC">
        <w:rPr>
          <w:lang w:val="de-DE"/>
        </w:rPr>
        <w:t xml:space="preserve">Die Vorschriften zur Einführung einer europäischen digitalen Identität sind am 20.05.2024 in Kraft getreten. Sie </w:t>
      </w:r>
      <w:r>
        <w:rPr>
          <w:lang w:val="de-DE"/>
        </w:rPr>
        <w:t>sollen</w:t>
      </w:r>
      <w:r w:rsidRPr="00EB77BC">
        <w:rPr>
          <w:lang w:val="de-DE"/>
        </w:rPr>
        <w:t xml:space="preserve"> den Weg dafür</w:t>
      </w:r>
      <w:r>
        <w:rPr>
          <w:lang w:val="de-DE"/>
        </w:rPr>
        <w:t xml:space="preserve"> ebnen</w:t>
      </w:r>
      <w:r w:rsidRPr="00EB77BC">
        <w:rPr>
          <w:lang w:val="de-DE"/>
        </w:rPr>
        <w:t xml:space="preserve">, dass alle Bürger der EU ab 2026 die europäische digitale Brieftasche nutzen können. Diese </w:t>
      </w:r>
      <w:r>
        <w:rPr>
          <w:lang w:val="de-DE"/>
        </w:rPr>
        <w:t>soll</w:t>
      </w:r>
      <w:r w:rsidRPr="00EB77BC">
        <w:rPr>
          <w:lang w:val="de-DE"/>
        </w:rPr>
        <w:t xml:space="preserve"> aus einer mobilen App bestehen, die in jedem Mitgliedstaat ausgegeben wird. Sie </w:t>
      </w:r>
      <w:r>
        <w:rPr>
          <w:lang w:val="de-DE"/>
        </w:rPr>
        <w:t>soll</w:t>
      </w:r>
      <w:r w:rsidRPr="00EB77BC">
        <w:rPr>
          <w:lang w:val="de-DE"/>
        </w:rPr>
        <w:t xml:space="preserve"> es den EU-Bürgern und -Einwohnern ermöglichen, sich online in voller Sicherheit auszuweisen und auf öffentliche und private Online-Dienste in ganz Europa zuzugreifen.</w:t>
      </w:r>
    </w:p>
    <w:p w14:paraId="25F1E09E" w14:textId="77777777" w:rsidR="008D7573" w:rsidRPr="00EB77BC" w:rsidRDefault="008D7573" w:rsidP="00085E02">
      <w:pPr>
        <w:pStyle w:val="berschrift2"/>
        <w:jc w:val="both"/>
        <w:rPr>
          <w:lang w:val="de-DE"/>
        </w:rPr>
      </w:pPr>
      <w:bookmarkStart w:id="30" w:name="_Hlk169612639"/>
      <w:r w:rsidRPr="00EB77BC">
        <w:rPr>
          <w:lang w:val="de-DE"/>
        </w:rPr>
        <w:lastRenderedPageBreak/>
        <w:t>Jahressteuergesetz 2024 vom Bundeskabinett beschlossen</w:t>
      </w:r>
      <w:bookmarkEnd w:id="30"/>
    </w:p>
    <w:p w14:paraId="4B42E01E" w14:textId="77777777" w:rsidR="008D7573" w:rsidRDefault="008D7573" w:rsidP="00085E02">
      <w:pPr>
        <w:jc w:val="both"/>
        <w:rPr>
          <w:lang w:val="de-DE"/>
        </w:rPr>
      </w:pPr>
      <w:r w:rsidRPr="00EB77BC">
        <w:rPr>
          <w:lang w:val="de-DE"/>
        </w:rPr>
        <w:t xml:space="preserve">Das Bundeskabinett hat </w:t>
      </w:r>
      <w:r>
        <w:rPr>
          <w:lang w:val="de-DE"/>
        </w:rPr>
        <w:t>am</w:t>
      </w:r>
      <w:r w:rsidRPr="00EB77BC">
        <w:rPr>
          <w:lang w:val="de-DE"/>
        </w:rPr>
        <w:t xml:space="preserve"> </w:t>
      </w:r>
      <w:r>
        <w:rPr>
          <w:lang w:val="de-DE"/>
        </w:rPr>
        <w:t xml:space="preserve">05.06.2024 </w:t>
      </w:r>
      <w:r w:rsidRPr="00EB77BC">
        <w:rPr>
          <w:lang w:val="de-DE"/>
        </w:rPr>
        <w:t>den Entwurf eines Jahressteuergesetzes (</w:t>
      </w:r>
      <w:proofErr w:type="spellStart"/>
      <w:r w:rsidRPr="00EB77BC">
        <w:rPr>
          <w:lang w:val="de-DE"/>
        </w:rPr>
        <w:t>JStG</w:t>
      </w:r>
      <w:proofErr w:type="spellEnd"/>
      <w:r w:rsidRPr="00EB77BC">
        <w:rPr>
          <w:lang w:val="de-DE"/>
        </w:rPr>
        <w:t xml:space="preserve"> 2024) beschlossen. </w:t>
      </w:r>
      <w:r w:rsidRPr="00153C03">
        <w:rPr>
          <w:lang w:val="de-DE"/>
        </w:rPr>
        <w:t>Es sieht wesentliche Maßnahmen vor, um z. B. den Abbau von Bürokratie voranzutreiben oder die Digitalisierung zu beschleunigen</w:t>
      </w:r>
      <w:r>
        <w:rPr>
          <w:lang w:val="de-DE"/>
        </w:rPr>
        <w:t xml:space="preserve"> und </w:t>
      </w:r>
      <w:r w:rsidRPr="00EB77BC">
        <w:rPr>
          <w:lang w:val="de-DE"/>
        </w:rPr>
        <w:t>ändert mit etwa 130 Einzelmaßnahmen eine Vielzahl von Gesetzen quer durch das Steuerrecht.</w:t>
      </w:r>
      <w:r>
        <w:rPr>
          <w:lang w:val="de-DE"/>
        </w:rPr>
        <w:t xml:space="preserve"> </w:t>
      </w:r>
      <w:r w:rsidRPr="004E3B71">
        <w:rPr>
          <w:lang w:val="de-DE"/>
        </w:rPr>
        <w:t>Da die Gesetzgebungsverfahren in der letzten Zeit gezeigt haben, dass Verschiebungen oftmals vorkommen, kann bisher noch </w:t>
      </w:r>
      <w:r w:rsidRPr="004E3B71">
        <w:rPr>
          <w:b/>
          <w:bCs/>
          <w:lang w:val="de-DE"/>
        </w:rPr>
        <w:t>keine definitive Aussage zum weiteren Zeitplan</w:t>
      </w:r>
      <w:r w:rsidRPr="004E3B71">
        <w:rPr>
          <w:lang w:val="de-DE"/>
        </w:rPr>
        <w:t> getroffen werden.</w:t>
      </w:r>
    </w:p>
    <w:p w14:paraId="5F9CCD1E" w14:textId="77777777" w:rsidR="008D7573" w:rsidRPr="00EB77BC" w:rsidRDefault="008D7573" w:rsidP="00085E02">
      <w:pPr>
        <w:pStyle w:val="berschrift2"/>
        <w:jc w:val="both"/>
        <w:rPr>
          <w:lang w:val="de-DE"/>
        </w:rPr>
      </w:pPr>
      <w:bookmarkStart w:id="31" w:name="_Hlk169612657"/>
      <w:r w:rsidRPr="00EB77BC">
        <w:rPr>
          <w:lang w:val="de-DE"/>
        </w:rPr>
        <w:t>Grundsteuer: Hebesatzempfehlungen für Hessens Kommunen berechnet</w:t>
      </w:r>
      <w:bookmarkEnd w:id="31"/>
    </w:p>
    <w:p w14:paraId="1D75D928" w14:textId="77777777" w:rsidR="008D7573" w:rsidRDefault="008D7573" w:rsidP="00085E02">
      <w:pPr>
        <w:jc w:val="both"/>
        <w:rPr>
          <w:lang w:val="de-DE"/>
        </w:rPr>
      </w:pPr>
      <w:r w:rsidRPr="00EB77BC">
        <w:rPr>
          <w:lang w:val="de-DE"/>
        </w:rPr>
        <w:t>Ab 2025 gilt die neue Grundsteuer. Ein Ziel dabei ist die Aufkommensneutralität für die Kommunen. Die Empfehlungen des Landes Hessen zu den Hebesätzen wurden nun vorgestellt.</w:t>
      </w:r>
      <w:r>
        <w:rPr>
          <w:lang w:val="de-DE"/>
        </w:rPr>
        <w:t xml:space="preserve"> </w:t>
      </w:r>
      <w:r w:rsidRPr="00EB77BC">
        <w:rPr>
          <w:lang w:val="de-DE"/>
        </w:rPr>
        <w:t>Eine Kommune soll 2025 unter dem neuen Recht etwa gleich viel Grundsteuer einnehmen wie 2024 unter dem alten Recht. Maßgebliche Stellschraube dafür ist der Hebesatz. Das Land gibt Empfehlungen, mit welchen Hebesätzen Aufkommensneutralität zu erreichen ist. Die Empfehlungen des Landes sind für die Kommunen nicht bindend. 344 Kommunen könnten nach der mathematisch berechneten Empfehlung ihren Hebesatz für die Grundsteuer B senken, 72 ihn erhöhen und 5 den bisherigen erneut beschließen, um Aufkommensneutralität sicherzustellen.</w:t>
      </w:r>
    </w:p>
    <w:p w14:paraId="4D18A487" w14:textId="77777777" w:rsidR="008D7573" w:rsidRPr="004161BC" w:rsidRDefault="008D7573" w:rsidP="00085E02">
      <w:pPr>
        <w:pStyle w:val="berschrift2"/>
        <w:jc w:val="both"/>
        <w:rPr>
          <w:lang w:val="de-DE"/>
        </w:rPr>
      </w:pPr>
      <w:bookmarkStart w:id="32" w:name="_Hlk169612674"/>
      <w:r w:rsidRPr="004161BC">
        <w:rPr>
          <w:lang w:val="de-DE"/>
        </w:rPr>
        <w:t>Bekanntgabe von Steuerbescheiden an Samstagen abgewendet</w:t>
      </w:r>
      <w:bookmarkEnd w:id="32"/>
    </w:p>
    <w:p w14:paraId="456CB672" w14:textId="3A1BBF30" w:rsidR="008D7573" w:rsidRPr="004161BC" w:rsidRDefault="008D7573" w:rsidP="00085E02">
      <w:pPr>
        <w:jc w:val="both"/>
        <w:rPr>
          <w:lang w:val="de-DE"/>
        </w:rPr>
      </w:pPr>
      <w:r w:rsidRPr="00153C03">
        <w:rPr>
          <w:lang w:val="de-DE"/>
        </w:rPr>
        <w:t xml:space="preserve">Mit dem im Bundestag am 13.06.2024 beschlossenen </w:t>
      </w:r>
      <w:r w:rsidRPr="00195C17">
        <w:rPr>
          <w:b/>
          <w:bCs/>
          <w:lang w:val="de-DE"/>
        </w:rPr>
        <w:t>Postrechtsmodernisierungsgesetz</w:t>
      </w:r>
      <w:r w:rsidRPr="00153C03">
        <w:rPr>
          <w:lang w:val="de-DE"/>
        </w:rPr>
        <w:t xml:space="preserve"> wurde das Postrecht modernisiert und unter anderem auch die Laufzeitvorgaben für die Zustellung von Briefen durch für die Postdienstleister verlängert.</w:t>
      </w:r>
      <w:r>
        <w:rPr>
          <w:lang w:val="de-DE"/>
        </w:rPr>
        <w:t xml:space="preserve"> </w:t>
      </w:r>
      <w:r w:rsidRPr="004161BC">
        <w:rPr>
          <w:lang w:val="de-DE"/>
        </w:rPr>
        <w:t xml:space="preserve">Um die Vermutungsregelungen für die Bekanntgabe von Verwaltungsakten an die verlängerten Laufzeitvorgaben anzupassen, wird die bisher vorgesehene Dreitagesfrist in eine Viertagesfrist verändert. Damit gelten Steuerbescheide und andere Verwaltungsakte als am vierten Tag nach deren Aufgabe zur Post als </w:t>
      </w:r>
      <w:r>
        <w:rPr>
          <w:lang w:val="de-DE"/>
        </w:rPr>
        <w:t>b</w:t>
      </w:r>
      <w:r w:rsidRPr="004161BC">
        <w:rPr>
          <w:lang w:val="de-DE"/>
        </w:rPr>
        <w:t xml:space="preserve">ekannt gegeben, statt wie bisher nach drei Tagen; beim elektronischen Abruf von </w:t>
      </w:r>
      <w:proofErr w:type="spellStart"/>
      <w:r w:rsidRPr="004161BC">
        <w:rPr>
          <w:lang w:val="de-DE"/>
        </w:rPr>
        <w:t>Bescheiddaten</w:t>
      </w:r>
      <w:proofErr w:type="spellEnd"/>
      <w:r w:rsidRPr="004161BC">
        <w:rPr>
          <w:lang w:val="de-DE"/>
        </w:rPr>
        <w:t xml:space="preserve"> entsprechend vier Tage nach Bereitstellung der Daten.</w:t>
      </w:r>
    </w:p>
    <w:bookmarkEnd w:id="8"/>
    <w:p w14:paraId="3477CCDE" w14:textId="5D3A34B4" w:rsidR="008D7573" w:rsidRPr="00735C8F" w:rsidRDefault="008D7573" w:rsidP="00085E02">
      <w:pPr>
        <w:jc w:val="both"/>
        <w:rPr>
          <w:lang w:val="de-DE"/>
        </w:rPr>
      </w:pPr>
      <w:r w:rsidRPr="004161BC">
        <w:rPr>
          <w:lang w:val="de-DE"/>
        </w:rPr>
        <w:t xml:space="preserve">Die verlängerten Laufzeitvorgaben führen auch zu Anpassungen bei der </w:t>
      </w:r>
      <w:r w:rsidRPr="004161BC">
        <w:rPr>
          <w:b/>
          <w:bCs/>
          <w:lang w:val="de-DE"/>
        </w:rPr>
        <w:t>Fristberechnung</w:t>
      </w:r>
      <w:r w:rsidRPr="004161BC">
        <w:rPr>
          <w:lang w:val="de-DE"/>
        </w:rPr>
        <w:t>. In seiner Stellungnahme hatte sich der Deutsche Steuerberaterverband e.V. (</w:t>
      </w:r>
      <w:proofErr w:type="spellStart"/>
      <w:r w:rsidRPr="004161BC">
        <w:rPr>
          <w:lang w:val="de-DE"/>
        </w:rPr>
        <w:t>DStV</w:t>
      </w:r>
      <w:proofErr w:type="spellEnd"/>
      <w:r w:rsidRPr="004161BC">
        <w:rPr>
          <w:lang w:val="de-DE"/>
        </w:rPr>
        <w:t>) an den Gesetzgeber gewandt und dafür eingesetzt, die Frist nicht am Wochenende enden zu lassen</w:t>
      </w:r>
      <w:r>
        <w:rPr>
          <w:lang w:val="de-DE"/>
        </w:rPr>
        <w:t xml:space="preserve">. </w:t>
      </w:r>
      <w:r w:rsidRPr="004161BC">
        <w:rPr>
          <w:lang w:val="de-DE"/>
        </w:rPr>
        <w:t xml:space="preserve">Im Wirtschaftsausschuss des Bundestages wurde </w:t>
      </w:r>
      <w:r>
        <w:rPr>
          <w:lang w:val="de-DE"/>
        </w:rPr>
        <w:t xml:space="preserve">daraufhin </w:t>
      </w:r>
      <w:r w:rsidRPr="004161BC">
        <w:rPr>
          <w:lang w:val="de-DE"/>
        </w:rPr>
        <w:t xml:space="preserve">nachgebessert </w:t>
      </w:r>
      <w:r>
        <w:rPr>
          <w:lang w:val="de-DE"/>
        </w:rPr>
        <w:t xml:space="preserve">und eine </w:t>
      </w:r>
      <w:r w:rsidRPr="00EB3DD3">
        <w:rPr>
          <w:b/>
          <w:bCs/>
          <w:lang w:val="de-DE"/>
        </w:rPr>
        <w:t xml:space="preserve">Bekanntgabe von Steuerbescheiden an Samstagen abgewendet. </w:t>
      </w:r>
      <w:r>
        <w:rPr>
          <w:lang w:val="de-DE"/>
        </w:rPr>
        <w:t>D</w:t>
      </w:r>
      <w:r w:rsidRPr="004161BC">
        <w:rPr>
          <w:lang w:val="de-DE"/>
        </w:rPr>
        <w:t xml:space="preserve">as Gesetz </w:t>
      </w:r>
      <w:r>
        <w:rPr>
          <w:lang w:val="de-DE"/>
        </w:rPr>
        <w:t>muss jetzt</w:t>
      </w:r>
      <w:r w:rsidRPr="004161BC">
        <w:rPr>
          <w:lang w:val="de-DE"/>
        </w:rPr>
        <w:t xml:space="preserve"> noch den Bundesrat passieren</w:t>
      </w:r>
      <w:bookmarkEnd w:id="9"/>
      <w:r w:rsidR="00FA6DFA">
        <w:rPr>
          <w:lang w:val="de-DE"/>
        </w:rPr>
        <w:t>.</w:t>
      </w:r>
    </w:p>
    <w:bookmarkEnd w:id="10"/>
    <w:p w14:paraId="72FB22CF" w14:textId="77777777" w:rsidR="008D7573" w:rsidRPr="00E87470" w:rsidRDefault="008D7573" w:rsidP="008D7573">
      <w:pPr>
        <w:pStyle w:val="ImpressumFett"/>
      </w:pPr>
      <w:r w:rsidRPr="00E87470">
        <w:t xml:space="preserve">Impressum </w:t>
      </w:r>
    </w:p>
    <w:p w14:paraId="277347F3" w14:textId="77777777" w:rsidR="008D7573" w:rsidRPr="00633F0F" w:rsidRDefault="008D7573" w:rsidP="008D7573">
      <w:pPr>
        <w:pStyle w:val="Impressum"/>
      </w:pPr>
      <w:r w:rsidRPr="00633F0F">
        <w:t>© 202</w:t>
      </w:r>
      <w:r>
        <w:t>4</w:t>
      </w:r>
      <w:r w:rsidRPr="00633F0F">
        <w:t xml:space="preserve"> Alle Rechte, insbesondere das Verlagsrecht, allein beim Herausgeber DATEV eG, 90329 Nürnberg (Verlag). Die Inhalte wurden mit größter Sorgfalt erstellt, erheben keinen Anspruch auf eine vollständige Darstellung und ersetzen nicht die Prüfung und Beratung im Einzelfall.</w:t>
      </w:r>
    </w:p>
    <w:p w14:paraId="0C9C0CB9" w14:textId="77777777" w:rsidR="008D7573" w:rsidRDefault="008D7573" w:rsidP="008D7573">
      <w:pPr>
        <w:pStyle w:val="Hinweis"/>
        <w:rPr>
          <w:sz w:val="15"/>
          <w:szCs w:val="15"/>
          <w:lang w:val="de-DE"/>
        </w:rPr>
      </w:pPr>
      <w:r w:rsidRPr="00633F0F">
        <w:rPr>
          <w:sz w:val="15"/>
          <w:szCs w:val="15"/>
          <w:lang w:val="de-DE"/>
        </w:rPr>
        <w:t>Die enthaltenen Beiträge und Abbildungen sind urheberrechtlich geschützt. Die Verwendung der Inhalte und Bilder im Kontext dieser Mandanten-Monatsinformation erfolgt mit Einwilligung der DATEV eG.</w:t>
      </w:r>
      <w:r>
        <w:rPr>
          <w:sz w:val="15"/>
          <w:szCs w:val="15"/>
          <w:lang w:val="de-DE"/>
        </w:rPr>
        <w:t xml:space="preserve"> </w:t>
      </w:r>
    </w:p>
    <w:p w14:paraId="59A0C7B5" w14:textId="77777777" w:rsidR="008D7573" w:rsidRDefault="008D7573" w:rsidP="008D7573">
      <w:pPr>
        <w:pStyle w:val="Hinweis"/>
        <w:rPr>
          <w:sz w:val="15"/>
          <w:szCs w:val="15"/>
          <w:lang w:val="de-DE"/>
        </w:rPr>
      </w:pPr>
      <w:r w:rsidRPr="001330E1">
        <w:rPr>
          <w:sz w:val="15"/>
          <w:szCs w:val="15"/>
          <w:lang w:val="de-DE"/>
        </w:rPr>
        <w:t>Eine Nutzung für Zwecke des Text- und Datamining (§ 44b UrhG) sowie für Zwecke der Entwicklung, des Trainings und der Anwendung (ggf. generativer) Künstlicher Intelligenz, wie auch die Zusammenfassung und Bearbeitung des Werkes durch Künstliche Intelligenz ist nicht gestattet.</w:t>
      </w:r>
    </w:p>
    <w:p w14:paraId="2C7D1733" w14:textId="06325055" w:rsidR="00CB0AE6" w:rsidRPr="008D7573" w:rsidRDefault="008D7573" w:rsidP="008D7573">
      <w:pPr>
        <w:rPr>
          <w:lang w:val="de-DE"/>
        </w:rPr>
      </w:pPr>
      <w:r>
        <w:rPr>
          <w:lang w:val="de-DE"/>
        </w:rPr>
        <w:br w:type="page"/>
      </w:r>
    </w:p>
    <w:p w14:paraId="64A4C3E7" w14:textId="77777777" w:rsidR="00290B2C" w:rsidRPr="002251AD" w:rsidRDefault="00290B2C" w:rsidP="00290B2C">
      <w:pPr>
        <w:pStyle w:val="berschrift2"/>
        <w:tabs>
          <w:tab w:val="right" w:pos="7655"/>
        </w:tabs>
        <w:rPr>
          <w:lang w:val="de-DE"/>
        </w:rPr>
      </w:pPr>
      <w:bookmarkStart w:id="33" w:name="_Hlk159234374"/>
      <w:bookmarkStart w:id="34" w:name="_Hlk164158465"/>
      <w:bookmarkStart w:id="35" w:name="_Hlk166657804"/>
      <w:bookmarkStart w:id="36" w:name="_Hlk169260851"/>
      <w:r w:rsidRPr="00314CA4">
        <w:rPr>
          <w:lang w:val="de-DE"/>
        </w:rPr>
        <w:lastRenderedPageBreak/>
        <w:t>Termine Steuern/Sozialversicherung</w:t>
      </w:r>
      <w:r>
        <w:rPr>
          <w:lang w:val="de-DE"/>
        </w:rPr>
        <w:tab/>
        <w:t>Juli/August 2024</w:t>
      </w:r>
    </w:p>
    <w:tbl>
      <w:tblPr>
        <w:tblStyle w:val="DATEVTabelle"/>
        <w:tblW w:w="10632" w:type="dxa"/>
        <w:tblLook w:val="04A0" w:firstRow="1" w:lastRow="0" w:firstColumn="1" w:lastColumn="0" w:noHBand="0" w:noVBand="1"/>
      </w:tblPr>
      <w:tblGrid>
        <w:gridCol w:w="2268"/>
        <w:gridCol w:w="1560"/>
        <w:gridCol w:w="3118"/>
        <w:gridCol w:w="3686"/>
      </w:tblGrid>
      <w:tr w:rsidR="00290B2C" w:rsidRPr="009C0B1C" w14:paraId="7637AE89" w14:textId="77777777" w:rsidTr="00CB0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Pr>
          <w:p w14:paraId="1FFC701A" w14:textId="77777777" w:rsidR="00290B2C" w:rsidRPr="009C0B1C" w:rsidRDefault="00290B2C" w:rsidP="00E620B5">
            <w:pPr>
              <w:pStyle w:val="Tabelleberschrift"/>
            </w:pPr>
            <w:proofErr w:type="spellStart"/>
            <w:r w:rsidRPr="00A66C4B">
              <w:t>Steuerart</w:t>
            </w:r>
            <w:proofErr w:type="spellEnd"/>
          </w:p>
        </w:tc>
        <w:tc>
          <w:tcPr>
            <w:tcW w:w="6804" w:type="dxa"/>
            <w:gridSpan w:val="2"/>
          </w:tcPr>
          <w:p w14:paraId="32656099" w14:textId="77777777" w:rsidR="00290B2C" w:rsidRPr="009C0B1C" w:rsidRDefault="00290B2C" w:rsidP="00E620B5">
            <w:pPr>
              <w:pStyle w:val="Tabelleberschrift"/>
              <w:cnfStyle w:val="100000000000" w:firstRow="1" w:lastRow="0" w:firstColumn="0" w:lastColumn="0" w:oddVBand="0" w:evenVBand="0" w:oddHBand="0" w:evenHBand="0" w:firstRowFirstColumn="0" w:firstRowLastColumn="0" w:lastRowFirstColumn="0" w:lastRowLastColumn="0"/>
            </w:pPr>
            <w:proofErr w:type="spellStart"/>
            <w:r w:rsidRPr="009C0B1C">
              <w:t>Fälligkeit</w:t>
            </w:r>
            <w:proofErr w:type="spellEnd"/>
          </w:p>
        </w:tc>
      </w:tr>
      <w:tr w:rsidR="00290B2C" w14:paraId="2F96C7D1" w14:textId="77777777" w:rsidTr="00CB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512FBF9F" w14:textId="77777777" w:rsidR="00290B2C" w:rsidRDefault="00290B2C" w:rsidP="00E620B5">
            <w:pPr>
              <w:pStyle w:val="TabelleInhalt"/>
              <w:rPr>
                <w:lang w:val="de-DE"/>
              </w:rPr>
            </w:pPr>
            <w:proofErr w:type="spellStart"/>
            <w:r w:rsidRPr="00201C34">
              <w:t>Lohnsteuer</w:t>
            </w:r>
            <w:proofErr w:type="spellEnd"/>
            <w:r w:rsidRPr="00201C34">
              <w:t xml:space="preserve">, </w:t>
            </w:r>
            <w:proofErr w:type="spellStart"/>
            <w:r w:rsidRPr="00201C34">
              <w:t>Kirchensteuer</w:t>
            </w:r>
            <w:proofErr w:type="spellEnd"/>
            <w:r w:rsidRPr="00201C34">
              <w:t xml:space="preserve">, </w:t>
            </w:r>
            <w:proofErr w:type="spellStart"/>
            <w:r w:rsidRPr="00201C34">
              <w:t>Solidaritätszuschlag</w:t>
            </w:r>
            <w:proofErr w:type="spellEnd"/>
          </w:p>
        </w:tc>
        <w:tc>
          <w:tcPr>
            <w:tcW w:w="3118" w:type="dxa"/>
            <w:vAlign w:val="top"/>
          </w:tcPr>
          <w:p w14:paraId="2FD7085C" w14:textId="77777777" w:rsidR="00290B2C"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lang w:val="de-DE"/>
              </w:rPr>
            </w:pPr>
            <w:r w:rsidRPr="00201C34">
              <w:t>1</w:t>
            </w:r>
            <w:r>
              <w:t>0</w:t>
            </w:r>
            <w:r w:rsidRPr="00201C34">
              <w:t>.0</w:t>
            </w:r>
            <w:r>
              <w:t>7</w:t>
            </w:r>
            <w:r w:rsidRPr="00201C34">
              <w:t>.2024</w:t>
            </w:r>
            <w:r w:rsidRPr="00C150D6">
              <w:rPr>
                <w:vertAlign w:val="superscript"/>
              </w:rPr>
              <w:t>1</w:t>
            </w:r>
          </w:p>
        </w:tc>
        <w:tc>
          <w:tcPr>
            <w:tcW w:w="3686" w:type="dxa"/>
            <w:vAlign w:val="top"/>
          </w:tcPr>
          <w:p w14:paraId="676883D7" w14:textId="77777777" w:rsidR="00290B2C"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lang w:val="de-DE"/>
              </w:rPr>
            </w:pPr>
            <w:r w:rsidRPr="00201C34">
              <w:t>1</w:t>
            </w:r>
            <w:r>
              <w:t>2</w:t>
            </w:r>
            <w:r w:rsidRPr="00201C34">
              <w:t>.0</w:t>
            </w:r>
            <w:r>
              <w:t>8</w:t>
            </w:r>
            <w:r w:rsidRPr="00201C34">
              <w:t>.2024</w:t>
            </w:r>
            <w:r>
              <w:rPr>
                <w:vertAlign w:val="superscript"/>
              </w:rPr>
              <w:t>2</w:t>
            </w:r>
          </w:p>
        </w:tc>
      </w:tr>
      <w:tr w:rsidR="00290B2C" w14:paraId="0A68364C" w14:textId="77777777" w:rsidTr="00CB0AE6">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467C684E" w14:textId="77777777" w:rsidR="00290B2C" w:rsidRPr="00201C34" w:rsidRDefault="00290B2C" w:rsidP="00E620B5">
            <w:pPr>
              <w:pStyle w:val="TabelleInhalt"/>
            </w:pPr>
            <w:proofErr w:type="spellStart"/>
            <w:r w:rsidRPr="000B62A1">
              <w:t>Umsatzsteuer</w:t>
            </w:r>
            <w:proofErr w:type="spellEnd"/>
          </w:p>
        </w:tc>
        <w:tc>
          <w:tcPr>
            <w:tcW w:w="3118" w:type="dxa"/>
            <w:vAlign w:val="top"/>
          </w:tcPr>
          <w:p w14:paraId="2DBA47D6" w14:textId="77777777" w:rsidR="00290B2C" w:rsidRPr="00201C34" w:rsidRDefault="00290B2C" w:rsidP="00E620B5">
            <w:pPr>
              <w:pStyle w:val="TabelleInhalt"/>
              <w:cnfStyle w:val="000000000000" w:firstRow="0" w:lastRow="0" w:firstColumn="0" w:lastColumn="0" w:oddVBand="0" w:evenVBand="0" w:oddHBand="0" w:evenHBand="0" w:firstRowFirstColumn="0" w:firstRowLastColumn="0" w:lastRowFirstColumn="0" w:lastRowLastColumn="0"/>
            </w:pPr>
            <w:r w:rsidRPr="000B62A1">
              <w:t>10.0</w:t>
            </w:r>
            <w:r>
              <w:t>7</w:t>
            </w:r>
            <w:r w:rsidRPr="000B62A1">
              <w:t>.2024</w:t>
            </w:r>
            <w:r>
              <w:rPr>
                <w:vertAlign w:val="superscript"/>
              </w:rPr>
              <w:t>3</w:t>
            </w:r>
          </w:p>
        </w:tc>
        <w:tc>
          <w:tcPr>
            <w:tcW w:w="3686" w:type="dxa"/>
            <w:vAlign w:val="top"/>
          </w:tcPr>
          <w:p w14:paraId="5E62ABDD" w14:textId="77777777" w:rsidR="00290B2C" w:rsidRPr="00201C34" w:rsidRDefault="00290B2C" w:rsidP="00E620B5">
            <w:pPr>
              <w:pStyle w:val="TabelleInhalt"/>
              <w:cnfStyle w:val="000000000000" w:firstRow="0" w:lastRow="0" w:firstColumn="0" w:lastColumn="0" w:oddVBand="0" w:evenVBand="0" w:oddHBand="0" w:evenHBand="0" w:firstRowFirstColumn="0" w:firstRowLastColumn="0" w:lastRowFirstColumn="0" w:lastRowLastColumn="0"/>
            </w:pPr>
            <w:r w:rsidRPr="00343AD9">
              <w:t>1</w:t>
            </w:r>
            <w:r>
              <w:t>2</w:t>
            </w:r>
            <w:r w:rsidRPr="00343AD9">
              <w:t>.0</w:t>
            </w:r>
            <w:r>
              <w:t>8</w:t>
            </w:r>
            <w:r w:rsidRPr="00343AD9">
              <w:t>.2024</w:t>
            </w:r>
            <w:r>
              <w:rPr>
                <w:vertAlign w:val="superscript"/>
              </w:rPr>
              <w:t>4</w:t>
            </w:r>
          </w:p>
        </w:tc>
      </w:tr>
      <w:tr w:rsidR="00290B2C" w14:paraId="6EA196B5" w14:textId="77777777" w:rsidTr="00CB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CFBFA" w:themeFill="accent1"/>
            <w:vAlign w:val="top"/>
          </w:tcPr>
          <w:p w14:paraId="5AF7C27F" w14:textId="77777777" w:rsidR="00290B2C" w:rsidRPr="00C150D6" w:rsidRDefault="00290B2C" w:rsidP="00E620B5">
            <w:pPr>
              <w:pStyle w:val="TabelleInhalt"/>
              <w:rPr>
                <w:lang w:val="de-DE"/>
              </w:rPr>
            </w:pPr>
            <w:bookmarkStart w:id="37" w:name="_Hlk160012024"/>
            <w:r w:rsidRPr="00C150D6">
              <w:rPr>
                <w:lang w:val="de-DE"/>
              </w:rPr>
              <w:t>Ende der Schonfrist obiger Steuerarten bei Zahlung durch:</w:t>
            </w:r>
          </w:p>
        </w:tc>
        <w:tc>
          <w:tcPr>
            <w:tcW w:w="1560" w:type="dxa"/>
            <w:shd w:val="clear" w:color="auto" w:fill="FCFBFA" w:themeFill="accent1"/>
            <w:vAlign w:val="top"/>
          </w:tcPr>
          <w:p w14:paraId="6DED6783" w14:textId="77777777" w:rsidR="00290B2C" w:rsidRPr="00C150D6" w:rsidRDefault="00290B2C" w:rsidP="00E620B5">
            <w:pPr>
              <w:pStyle w:val="TabelleInhalt"/>
              <w:jc w:val="right"/>
              <w:cnfStyle w:val="000000100000" w:firstRow="0" w:lastRow="0" w:firstColumn="0" w:lastColumn="0" w:oddVBand="0" w:evenVBand="0" w:oddHBand="1" w:evenHBand="0" w:firstRowFirstColumn="0" w:firstRowLastColumn="0" w:lastRowFirstColumn="0" w:lastRowLastColumn="0"/>
            </w:pPr>
            <w:r w:rsidRPr="00C150D6">
              <w:t>Überweisung</w:t>
            </w:r>
            <w:r>
              <w:rPr>
                <w:vertAlign w:val="superscript"/>
              </w:rPr>
              <w:t>5</w:t>
            </w:r>
          </w:p>
        </w:tc>
        <w:tc>
          <w:tcPr>
            <w:tcW w:w="3118" w:type="dxa"/>
            <w:shd w:val="clear" w:color="auto" w:fill="FCFBFA" w:themeFill="accent1"/>
            <w:vAlign w:val="top"/>
          </w:tcPr>
          <w:p w14:paraId="47A90393" w14:textId="77777777" w:rsidR="00290B2C" w:rsidRPr="00E728B6"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szCs w:val="15"/>
              </w:rPr>
            </w:pPr>
            <w:r w:rsidRPr="00E728B6">
              <w:rPr>
                <w:rFonts w:eastAsia="Calibri" w:cs="Segoe UI"/>
                <w:szCs w:val="15"/>
              </w:rPr>
              <w:t>1</w:t>
            </w:r>
            <w:r>
              <w:rPr>
                <w:rFonts w:eastAsia="Calibri" w:cs="Segoe UI"/>
                <w:szCs w:val="15"/>
              </w:rPr>
              <w:t>5</w:t>
            </w:r>
            <w:r w:rsidRPr="00E728B6">
              <w:rPr>
                <w:rFonts w:eastAsia="Calibri" w:cs="Segoe UI"/>
                <w:szCs w:val="15"/>
              </w:rPr>
              <w:t>.0</w:t>
            </w:r>
            <w:r>
              <w:rPr>
                <w:rFonts w:eastAsia="Calibri" w:cs="Segoe UI"/>
                <w:szCs w:val="15"/>
              </w:rPr>
              <w:t>7</w:t>
            </w:r>
            <w:r w:rsidRPr="00E728B6">
              <w:rPr>
                <w:rFonts w:eastAsia="Calibri" w:cs="Segoe UI"/>
                <w:szCs w:val="15"/>
              </w:rPr>
              <w:t>.2024</w:t>
            </w:r>
          </w:p>
        </w:tc>
        <w:tc>
          <w:tcPr>
            <w:tcW w:w="3686" w:type="dxa"/>
            <w:shd w:val="clear" w:color="auto" w:fill="FCFBFA" w:themeFill="accent1"/>
            <w:vAlign w:val="top"/>
          </w:tcPr>
          <w:p w14:paraId="39FB0953" w14:textId="77777777" w:rsidR="00290B2C" w:rsidRPr="00E728B6"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szCs w:val="15"/>
              </w:rPr>
            </w:pPr>
            <w:r w:rsidRPr="00E728B6">
              <w:rPr>
                <w:rFonts w:eastAsia="Calibri" w:cs="Segoe UI"/>
                <w:szCs w:val="15"/>
              </w:rPr>
              <w:t>1</w:t>
            </w:r>
            <w:r>
              <w:rPr>
                <w:rFonts w:eastAsia="Calibri" w:cs="Segoe UI"/>
                <w:szCs w:val="15"/>
              </w:rPr>
              <w:t>5</w:t>
            </w:r>
            <w:r w:rsidRPr="00E728B6">
              <w:rPr>
                <w:rFonts w:eastAsia="Calibri" w:cs="Segoe UI"/>
                <w:szCs w:val="15"/>
              </w:rPr>
              <w:t>.0</w:t>
            </w:r>
            <w:r>
              <w:rPr>
                <w:rFonts w:eastAsia="Calibri" w:cs="Segoe UI"/>
                <w:szCs w:val="15"/>
              </w:rPr>
              <w:t>8</w:t>
            </w:r>
            <w:r w:rsidRPr="00E728B6">
              <w:rPr>
                <w:rFonts w:eastAsia="Calibri" w:cs="Segoe UI"/>
                <w:szCs w:val="15"/>
              </w:rPr>
              <w:t>.2024</w:t>
            </w:r>
            <w:r w:rsidRPr="007403A3">
              <w:rPr>
                <w:rFonts w:eastAsia="Calibri" w:cs="Segoe UI"/>
                <w:szCs w:val="15"/>
                <w:vertAlign w:val="superscript"/>
              </w:rPr>
              <w:t>8</w:t>
            </w:r>
          </w:p>
        </w:tc>
      </w:tr>
      <w:tr w:rsidR="00290B2C" w14:paraId="410519B8" w14:textId="77777777" w:rsidTr="00CB0AE6">
        <w:tc>
          <w:tcPr>
            <w:cnfStyle w:val="001000000000" w:firstRow="0" w:lastRow="0" w:firstColumn="1" w:lastColumn="0" w:oddVBand="0" w:evenVBand="0" w:oddHBand="0" w:evenHBand="0" w:firstRowFirstColumn="0" w:firstRowLastColumn="0" w:lastRowFirstColumn="0" w:lastRowLastColumn="0"/>
            <w:tcW w:w="2268" w:type="dxa"/>
            <w:vMerge/>
            <w:shd w:val="clear" w:color="auto" w:fill="FCFBFA" w:themeFill="accent1"/>
            <w:vAlign w:val="top"/>
          </w:tcPr>
          <w:p w14:paraId="481F8AA0" w14:textId="77777777" w:rsidR="00290B2C" w:rsidRPr="00C150D6" w:rsidRDefault="00290B2C" w:rsidP="00E620B5">
            <w:pPr>
              <w:pStyle w:val="TabelleInhalt"/>
            </w:pPr>
          </w:p>
        </w:tc>
        <w:tc>
          <w:tcPr>
            <w:tcW w:w="1560" w:type="dxa"/>
            <w:shd w:val="clear" w:color="auto" w:fill="FCFBFA" w:themeFill="accent1"/>
            <w:vAlign w:val="top"/>
          </w:tcPr>
          <w:p w14:paraId="7D15F31D" w14:textId="77777777" w:rsidR="00290B2C" w:rsidRPr="00C150D6" w:rsidRDefault="00290B2C" w:rsidP="00E620B5">
            <w:pPr>
              <w:pStyle w:val="TabelleInhalt"/>
              <w:jc w:val="right"/>
              <w:cnfStyle w:val="000000000000" w:firstRow="0" w:lastRow="0" w:firstColumn="0" w:lastColumn="0" w:oddVBand="0" w:evenVBand="0" w:oddHBand="0" w:evenHBand="0" w:firstRowFirstColumn="0" w:firstRowLastColumn="0" w:lastRowFirstColumn="0" w:lastRowLastColumn="0"/>
            </w:pPr>
            <w:r w:rsidRPr="00C150D6">
              <w:t>Scheck</w:t>
            </w:r>
            <w:r>
              <w:rPr>
                <w:vertAlign w:val="superscript"/>
              </w:rPr>
              <w:t>6</w:t>
            </w:r>
          </w:p>
        </w:tc>
        <w:tc>
          <w:tcPr>
            <w:tcW w:w="3118" w:type="dxa"/>
            <w:shd w:val="clear" w:color="auto" w:fill="FCFBFA" w:themeFill="accent1"/>
            <w:vAlign w:val="top"/>
          </w:tcPr>
          <w:p w14:paraId="4E1C9B51" w14:textId="77777777" w:rsidR="00290B2C" w:rsidRPr="00E728B6" w:rsidRDefault="00290B2C" w:rsidP="00E620B5">
            <w:pPr>
              <w:pStyle w:val="TabelleInhalt"/>
              <w:cnfStyle w:val="000000000000" w:firstRow="0" w:lastRow="0" w:firstColumn="0" w:lastColumn="0" w:oddVBand="0" w:evenVBand="0" w:oddHBand="0" w:evenHBand="0" w:firstRowFirstColumn="0" w:firstRowLastColumn="0" w:lastRowFirstColumn="0" w:lastRowLastColumn="0"/>
              <w:rPr>
                <w:szCs w:val="15"/>
              </w:rPr>
            </w:pPr>
            <w:r w:rsidRPr="00E728B6">
              <w:rPr>
                <w:rFonts w:eastAsia="Calibri" w:cs="Segoe UI"/>
                <w:szCs w:val="15"/>
              </w:rPr>
              <w:t>1</w:t>
            </w:r>
            <w:r>
              <w:rPr>
                <w:rFonts w:eastAsia="Calibri" w:cs="Segoe UI"/>
                <w:szCs w:val="15"/>
              </w:rPr>
              <w:t>0</w:t>
            </w:r>
            <w:r w:rsidRPr="00E728B6">
              <w:rPr>
                <w:rFonts w:eastAsia="Calibri" w:cs="Segoe UI"/>
                <w:szCs w:val="15"/>
              </w:rPr>
              <w:t>.0</w:t>
            </w:r>
            <w:r>
              <w:rPr>
                <w:rFonts w:eastAsia="Calibri" w:cs="Segoe UI"/>
                <w:szCs w:val="15"/>
              </w:rPr>
              <w:t>7</w:t>
            </w:r>
            <w:r w:rsidRPr="00E728B6">
              <w:rPr>
                <w:rFonts w:eastAsia="Calibri" w:cs="Segoe UI"/>
                <w:szCs w:val="15"/>
              </w:rPr>
              <w:t>.2024</w:t>
            </w:r>
          </w:p>
        </w:tc>
        <w:tc>
          <w:tcPr>
            <w:tcW w:w="3686" w:type="dxa"/>
            <w:shd w:val="clear" w:color="auto" w:fill="FCFBFA" w:themeFill="accent1"/>
            <w:vAlign w:val="top"/>
          </w:tcPr>
          <w:p w14:paraId="3A7F4EF6" w14:textId="77777777" w:rsidR="00290B2C" w:rsidRPr="00E728B6" w:rsidRDefault="00290B2C" w:rsidP="00E620B5">
            <w:pPr>
              <w:pStyle w:val="TabelleInhalt"/>
              <w:cnfStyle w:val="000000000000" w:firstRow="0" w:lastRow="0" w:firstColumn="0" w:lastColumn="0" w:oddVBand="0" w:evenVBand="0" w:oddHBand="0" w:evenHBand="0" w:firstRowFirstColumn="0" w:firstRowLastColumn="0" w:lastRowFirstColumn="0" w:lastRowLastColumn="0"/>
              <w:rPr>
                <w:szCs w:val="15"/>
              </w:rPr>
            </w:pPr>
            <w:r w:rsidRPr="00E728B6">
              <w:rPr>
                <w:rFonts w:eastAsia="Calibri" w:cs="Segoe UI"/>
                <w:szCs w:val="15"/>
              </w:rPr>
              <w:t>1</w:t>
            </w:r>
            <w:r>
              <w:rPr>
                <w:rFonts w:eastAsia="Calibri" w:cs="Segoe UI"/>
                <w:szCs w:val="15"/>
              </w:rPr>
              <w:t>2</w:t>
            </w:r>
            <w:r w:rsidRPr="00E728B6">
              <w:rPr>
                <w:rFonts w:eastAsia="Calibri" w:cs="Segoe UI"/>
                <w:szCs w:val="15"/>
              </w:rPr>
              <w:t>.0</w:t>
            </w:r>
            <w:r>
              <w:rPr>
                <w:rFonts w:eastAsia="Calibri" w:cs="Segoe UI"/>
                <w:szCs w:val="15"/>
              </w:rPr>
              <w:t>8</w:t>
            </w:r>
            <w:r w:rsidRPr="00E728B6">
              <w:rPr>
                <w:rFonts w:eastAsia="Calibri" w:cs="Segoe UI"/>
                <w:szCs w:val="15"/>
              </w:rPr>
              <w:t>.2024</w:t>
            </w:r>
          </w:p>
        </w:tc>
      </w:tr>
      <w:tr w:rsidR="00290B2C" w14:paraId="49D0E8AA" w14:textId="77777777" w:rsidTr="00CB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7BB88653" w14:textId="77777777" w:rsidR="00290B2C" w:rsidRPr="004A4128" w:rsidRDefault="00290B2C" w:rsidP="00E620B5">
            <w:pPr>
              <w:pStyle w:val="TabelleInhalt"/>
            </w:pPr>
            <w:proofErr w:type="spellStart"/>
            <w:r w:rsidRPr="00C57CB7">
              <w:t>Gewerbesteuer</w:t>
            </w:r>
            <w:proofErr w:type="spellEnd"/>
          </w:p>
        </w:tc>
        <w:tc>
          <w:tcPr>
            <w:tcW w:w="3118" w:type="dxa"/>
            <w:vAlign w:val="top"/>
          </w:tcPr>
          <w:p w14:paraId="7106203A" w14:textId="77777777" w:rsidR="00290B2C" w:rsidRPr="00343AD9" w:rsidRDefault="00290B2C" w:rsidP="00E620B5">
            <w:pPr>
              <w:pStyle w:val="TabelleInhalt"/>
              <w:cnfStyle w:val="000000100000" w:firstRow="0" w:lastRow="0" w:firstColumn="0" w:lastColumn="0" w:oddVBand="0" w:evenVBand="0" w:oddHBand="1" w:evenHBand="0" w:firstRowFirstColumn="0" w:firstRowLastColumn="0" w:lastRowFirstColumn="0" w:lastRowLastColumn="0"/>
            </w:pPr>
            <w:proofErr w:type="spellStart"/>
            <w:r w:rsidRPr="00C57CB7">
              <w:t>entfällt</w:t>
            </w:r>
            <w:proofErr w:type="spellEnd"/>
          </w:p>
        </w:tc>
        <w:tc>
          <w:tcPr>
            <w:tcW w:w="3686" w:type="dxa"/>
            <w:vAlign w:val="top"/>
          </w:tcPr>
          <w:p w14:paraId="130F3780" w14:textId="77777777" w:rsidR="00290B2C" w:rsidRDefault="00290B2C" w:rsidP="00E620B5">
            <w:pPr>
              <w:pStyle w:val="TabelleInhalt"/>
              <w:cnfStyle w:val="000000100000" w:firstRow="0" w:lastRow="0" w:firstColumn="0" w:lastColumn="0" w:oddVBand="0" w:evenVBand="0" w:oddHBand="1" w:evenHBand="0" w:firstRowFirstColumn="0" w:firstRowLastColumn="0" w:lastRowFirstColumn="0" w:lastRowLastColumn="0"/>
            </w:pPr>
            <w:r>
              <w:t>15.08.2024</w:t>
            </w:r>
            <w:r w:rsidRPr="007403A3">
              <w:rPr>
                <w:vertAlign w:val="superscript"/>
              </w:rPr>
              <w:t>8</w:t>
            </w:r>
          </w:p>
        </w:tc>
      </w:tr>
      <w:tr w:rsidR="00290B2C" w14:paraId="03076A50" w14:textId="77777777" w:rsidTr="00CB0AE6">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6E7AA051" w14:textId="77777777" w:rsidR="00290B2C" w:rsidRPr="004A4128" w:rsidRDefault="00290B2C" w:rsidP="00E620B5">
            <w:pPr>
              <w:pStyle w:val="TabelleInhalt"/>
            </w:pPr>
            <w:proofErr w:type="spellStart"/>
            <w:r w:rsidRPr="00C57CB7">
              <w:t>Grundsteuer</w:t>
            </w:r>
            <w:proofErr w:type="spellEnd"/>
          </w:p>
        </w:tc>
        <w:tc>
          <w:tcPr>
            <w:tcW w:w="3118" w:type="dxa"/>
            <w:vAlign w:val="top"/>
          </w:tcPr>
          <w:p w14:paraId="7165261B" w14:textId="77777777" w:rsidR="00290B2C" w:rsidRPr="00343AD9" w:rsidRDefault="00290B2C" w:rsidP="00E620B5">
            <w:pPr>
              <w:pStyle w:val="TabelleInhalt"/>
              <w:cnfStyle w:val="000000000000" w:firstRow="0" w:lastRow="0" w:firstColumn="0" w:lastColumn="0" w:oddVBand="0" w:evenVBand="0" w:oddHBand="0" w:evenHBand="0" w:firstRowFirstColumn="0" w:firstRowLastColumn="0" w:lastRowFirstColumn="0" w:lastRowLastColumn="0"/>
            </w:pPr>
            <w:proofErr w:type="spellStart"/>
            <w:r w:rsidRPr="00C57CB7">
              <w:t>entfällt</w:t>
            </w:r>
            <w:proofErr w:type="spellEnd"/>
          </w:p>
        </w:tc>
        <w:tc>
          <w:tcPr>
            <w:tcW w:w="3686" w:type="dxa"/>
            <w:vAlign w:val="top"/>
          </w:tcPr>
          <w:p w14:paraId="5073BC30" w14:textId="77777777" w:rsidR="00290B2C" w:rsidRDefault="00290B2C" w:rsidP="00E620B5">
            <w:pPr>
              <w:pStyle w:val="TabelleInhalt"/>
              <w:cnfStyle w:val="000000000000" w:firstRow="0" w:lastRow="0" w:firstColumn="0" w:lastColumn="0" w:oddVBand="0" w:evenVBand="0" w:oddHBand="0" w:evenHBand="0" w:firstRowFirstColumn="0" w:firstRowLastColumn="0" w:lastRowFirstColumn="0" w:lastRowLastColumn="0"/>
            </w:pPr>
            <w:r w:rsidRPr="007403A3">
              <w:t>15.08.2024</w:t>
            </w:r>
            <w:r w:rsidRPr="007403A3">
              <w:rPr>
                <w:vertAlign w:val="superscript"/>
              </w:rPr>
              <w:t>8</w:t>
            </w:r>
          </w:p>
        </w:tc>
      </w:tr>
      <w:tr w:rsidR="00290B2C" w:rsidRPr="00E728B6" w14:paraId="7C694467" w14:textId="77777777" w:rsidTr="00CB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CFBFA" w:themeFill="accent1"/>
            <w:vAlign w:val="top"/>
          </w:tcPr>
          <w:p w14:paraId="4E862F9E" w14:textId="77777777" w:rsidR="00290B2C" w:rsidRPr="00C150D6" w:rsidRDefault="00290B2C" w:rsidP="00E620B5">
            <w:pPr>
              <w:pStyle w:val="TabelleInhalt"/>
              <w:rPr>
                <w:lang w:val="de-DE"/>
              </w:rPr>
            </w:pPr>
            <w:r w:rsidRPr="00C150D6">
              <w:rPr>
                <w:lang w:val="de-DE"/>
              </w:rPr>
              <w:t>Ende der Schonfrist obiger Steuerarten bei Zahlung durch:</w:t>
            </w:r>
          </w:p>
        </w:tc>
        <w:tc>
          <w:tcPr>
            <w:tcW w:w="1560" w:type="dxa"/>
            <w:shd w:val="clear" w:color="auto" w:fill="FCFBFA" w:themeFill="accent1"/>
            <w:vAlign w:val="top"/>
          </w:tcPr>
          <w:p w14:paraId="0CDD8EDB" w14:textId="77777777" w:rsidR="00290B2C" w:rsidRPr="00C150D6" w:rsidRDefault="00290B2C" w:rsidP="00E620B5">
            <w:pPr>
              <w:pStyle w:val="TabelleInhalt"/>
              <w:jc w:val="right"/>
              <w:cnfStyle w:val="000000100000" w:firstRow="0" w:lastRow="0" w:firstColumn="0" w:lastColumn="0" w:oddVBand="0" w:evenVBand="0" w:oddHBand="1" w:evenHBand="0" w:firstRowFirstColumn="0" w:firstRowLastColumn="0" w:lastRowFirstColumn="0" w:lastRowLastColumn="0"/>
            </w:pPr>
            <w:r w:rsidRPr="00C150D6">
              <w:t>Überweisung</w:t>
            </w:r>
            <w:r>
              <w:rPr>
                <w:vertAlign w:val="superscript"/>
              </w:rPr>
              <w:t>5</w:t>
            </w:r>
          </w:p>
        </w:tc>
        <w:tc>
          <w:tcPr>
            <w:tcW w:w="3118" w:type="dxa"/>
            <w:shd w:val="clear" w:color="auto" w:fill="FCFBFA" w:themeFill="accent1"/>
            <w:vAlign w:val="top"/>
          </w:tcPr>
          <w:p w14:paraId="2ABE127E" w14:textId="77777777" w:rsidR="00290B2C" w:rsidRPr="00E728B6"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szCs w:val="15"/>
              </w:rPr>
            </w:pPr>
            <w:proofErr w:type="spellStart"/>
            <w:r w:rsidRPr="007403A3">
              <w:rPr>
                <w:rFonts w:eastAsia="Calibri" w:cs="Segoe UI"/>
                <w:szCs w:val="15"/>
              </w:rPr>
              <w:t>entfällt</w:t>
            </w:r>
            <w:proofErr w:type="spellEnd"/>
          </w:p>
        </w:tc>
        <w:tc>
          <w:tcPr>
            <w:tcW w:w="3686" w:type="dxa"/>
            <w:shd w:val="clear" w:color="auto" w:fill="FCFBFA" w:themeFill="accent1"/>
            <w:vAlign w:val="top"/>
          </w:tcPr>
          <w:p w14:paraId="58D848AF" w14:textId="77777777" w:rsidR="00290B2C" w:rsidRPr="00E728B6" w:rsidRDefault="00290B2C" w:rsidP="00E620B5">
            <w:pPr>
              <w:pStyle w:val="TabelleInhalt"/>
              <w:cnfStyle w:val="000000100000" w:firstRow="0" w:lastRow="0" w:firstColumn="0" w:lastColumn="0" w:oddVBand="0" w:evenVBand="0" w:oddHBand="1" w:evenHBand="0" w:firstRowFirstColumn="0" w:firstRowLastColumn="0" w:lastRowFirstColumn="0" w:lastRowLastColumn="0"/>
              <w:rPr>
                <w:szCs w:val="15"/>
              </w:rPr>
            </w:pPr>
            <w:r w:rsidRPr="00E728B6">
              <w:rPr>
                <w:rFonts w:eastAsia="Calibri" w:cs="Segoe UI"/>
                <w:szCs w:val="15"/>
              </w:rPr>
              <w:t>1</w:t>
            </w:r>
            <w:r>
              <w:rPr>
                <w:rFonts w:eastAsia="Calibri" w:cs="Segoe UI"/>
                <w:szCs w:val="15"/>
              </w:rPr>
              <w:t>9</w:t>
            </w:r>
            <w:r w:rsidRPr="00E728B6">
              <w:rPr>
                <w:rFonts w:eastAsia="Calibri" w:cs="Segoe UI"/>
                <w:szCs w:val="15"/>
              </w:rPr>
              <w:t>.0</w:t>
            </w:r>
            <w:r>
              <w:rPr>
                <w:rFonts w:eastAsia="Calibri" w:cs="Segoe UI"/>
                <w:szCs w:val="15"/>
              </w:rPr>
              <w:t>8</w:t>
            </w:r>
            <w:r w:rsidRPr="00E728B6">
              <w:rPr>
                <w:rFonts w:eastAsia="Calibri" w:cs="Segoe UI"/>
                <w:szCs w:val="15"/>
              </w:rPr>
              <w:t>.2024</w:t>
            </w:r>
          </w:p>
        </w:tc>
      </w:tr>
      <w:tr w:rsidR="00290B2C" w:rsidRPr="00E728B6" w14:paraId="0344355C" w14:textId="77777777" w:rsidTr="00CB0AE6">
        <w:tc>
          <w:tcPr>
            <w:cnfStyle w:val="001000000000" w:firstRow="0" w:lastRow="0" w:firstColumn="1" w:lastColumn="0" w:oddVBand="0" w:evenVBand="0" w:oddHBand="0" w:evenHBand="0" w:firstRowFirstColumn="0" w:firstRowLastColumn="0" w:lastRowFirstColumn="0" w:lastRowLastColumn="0"/>
            <w:tcW w:w="2268" w:type="dxa"/>
            <w:vMerge/>
            <w:shd w:val="clear" w:color="auto" w:fill="FCFBFA" w:themeFill="accent1"/>
            <w:vAlign w:val="top"/>
          </w:tcPr>
          <w:p w14:paraId="6D7213A8" w14:textId="77777777" w:rsidR="00290B2C" w:rsidRPr="00C150D6" w:rsidRDefault="00290B2C" w:rsidP="00E620B5">
            <w:pPr>
              <w:pStyle w:val="TabelleInhalt"/>
            </w:pPr>
          </w:p>
        </w:tc>
        <w:tc>
          <w:tcPr>
            <w:tcW w:w="1560" w:type="dxa"/>
            <w:shd w:val="clear" w:color="auto" w:fill="FCFBFA" w:themeFill="accent1"/>
            <w:vAlign w:val="top"/>
          </w:tcPr>
          <w:p w14:paraId="4C691821" w14:textId="77777777" w:rsidR="00290B2C" w:rsidRPr="00C150D6" w:rsidRDefault="00290B2C" w:rsidP="00E620B5">
            <w:pPr>
              <w:pStyle w:val="TabelleInhalt"/>
              <w:jc w:val="right"/>
              <w:cnfStyle w:val="000000000000" w:firstRow="0" w:lastRow="0" w:firstColumn="0" w:lastColumn="0" w:oddVBand="0" w:evenVBand="0" w:oddHBand="0" w:evenHBand="0" w:firstRowFirstColumn="0" w:firstRowLastColumn="0" w:lastRowFirstColumn="0" w:lastRowLastColumn="0"/>
            </w:pPr>
            <w:r w:rsidRPr="00C150D6">
              <w:t>Scheck</w:t>
            </w:r>
            <w:r>
              <w:rPr>
                <w:vertAlign w:val="superscript"/>
              </w:rPr>
              <w:t>6</w:t>
            </w:r>
          </w:p>
        </w:tc>
        <w:tc>
          <w:tcPr>
            <w:tcW w:w="3118" w:type="dxa"/>
            <w:shd w:val="clear" w:color="auto" w:fill="FCFBFA" w:themeFill="accent1"/>
            <w:vAlign w:val="top"/>
          </w:tcPr>
          <w:p w14:paraId="76CF8CD1" w14:textId="77777777" w:rsidR="00290B2C" w:rsidRPr="00E728B6" w:rsidRDefault="00290B2C" w:rsidP="00E620B5">
            <w:pPr>
              <w:pStyle w:val="TabelleInhalt"/>
              <w:cnfStyle w:val="000000000000" w:firstRow="0" w:lastRow="0" w:firstColumn="0" w:lastColumn="0" w:oddVBand="0" w:evenVBand="0" w:oddHBand="0" w:evenHBand="0" w:firstRowFirstColumn="0" w:firstRowLastColumn="0" w:lastRowFirstColumn="0" w:lastRowLastColumn="0"/>
              <w:rPr>
                <w:szCs w:val="15"/>
              </w:rPr>
            </w:pPr>
            <w:proofErr w:type="spellStart"/>
            <w:r w:rsidRPr="007403A3">
              <w:rPr>
                <w:rFonts w:eastAsia="Calibri" w:cs="Segoe UI"/>
                <w:szCs w:val="15"/>
              </w:rPr>
              <w:t>entfällt</w:t>
            </w:r>
            <w:proofErr w:type="spellEnd"/>
          </w:p>
        </w:tc>
        <w:tc>
          <w:tcPr>
            <w:tcW w:w="3686" w:type="dxa"/>
            <w:shd w:val="clear" w:color="auto" w:fill="FCFBFA" w:themeFill="accent1"/>
            <w:vAlign w:val="top"/>
          </w:tcPr>
          <w:p w14:paraId="135A1E2C" w14:textId="77777777" w:rsidR="00290B2C" w:rsidRPr="00E728B6" w:rsidRDefault="00290B2C" w:rsidP="00E620B5">
            <w:pPr>
              <w:pStyle w:val="TabelleInhalt"/>
              <w:cnfStyle w:val="000000000000" w:firstRow="0" w:lastRow="0" w:firstColumn="0" w:lastColumn="0" w:oddVBand="0" w:evenVBand="0" w:oddHBand="0" w:evenHBand="0" w:firstRowFirstColumn="0" w:firstRowLastColumn="0" w:lastRowFirstColumn="0" w:lastRowLastColumn="0"/>
              <w:rPr>
                <w:szCs w:val="15"/>
              </w:rPr>
            </w:pPr>
            <w:r w:rsidRPr="00E728B6">
              <w:rPr>
                <w:rFonts w:eastAsia="Calibri" w:cs="Segoe UI"/>
                <w:szCs w:val="15"/>
              </w:rPr>
              <w:t>1</w:t>
            </w:r>
            <w:r>
              <w:rPr>
                <w:rFonts w:eastAsia="Calibri" w:cs="Segoe UI"/>
                <w:szCs w:val="15"/>
              </w:rPr>
              <w:t>5</w:t>
            </w:r>
            <w:r w:rsidRPr="00E728B6">
              <w:rPr>
                <w:rFonts w:eastAsia="Calibri" w:cs="Segoe UI"/>
                <w:szCs w:val="15"/>
              </w:rPr>
              <w:t>.0</w:t>
            </w:r>
            <w:r>
              <w:rPr>
                <w:rFonts w:eastAsia="Calibri" w:cs="Segoe UI"/>
                <w:szCs w:val="15"/>
              </w:rPr>
              <w:t>8</w:t>
            </w:r>
            <w:r w:rsidRPr="00E728B6">
              <w:rPr>
                <w:rFonts w:eastAsia="Calibri" w:cs="Segoe UI"/>
                <w:szCs w:val="15"/>
              </w:rPr>
              <w:t>.2024</w:t>
            </w:r>
          </w:p>
        </w:tc>
      </w:tr>
      <w:bookmarkEnd w:id="37"/>
      <w:tr w:rsidR="00290B2C" w14:paraId="10C56186" w14:textId="77777777" w:rsidTr="00CB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6ABFC6D0" w14:textId="77777777" w:rsidR="00290B2C" w:rsidRPr="00A60972" w:rsidRDefault="00290B2C" w:rsidP="00E620B5">
            <w:pPr>
              <w:pStyle w:val="TabelleInhalt"/>
            </w:pPr>
            <w:r w:rsidRPr="004A4128">
              <w:t>Sozialversicherung</w:t>
            </w:r>
            <w:r>
              <w:rPr>
                <w:vertAlign w:val="superscript"/>
              </w:rPr>
              <w:t>7</w:t>
            </w:r>
          </w:p>
        </w:tc>
        <w:tc>
          <w:tcPr>
            <w:tcW w:w="3118" w:type="dxa"/>
            <w:vAlign w:val="top"/>
          </w:tcPr>
          <w:p w14:paraId="5A3B02D6" w14:textId="77777777" w:rsidR="00290B2C" w:rsidRPr="00A60972" w:rsidRDefault="00290B2C" w:rsidP="00E620B5">
            <w:pPr>
              <w:pStyle w:val="TabelleInhalt"/>
              <w:cnfStyle w:val="000000100000" w:firstRow="0" w:lastRow="0" w:firstColumn="0" w:lastColumn="0" w:oddVBand="0" w:evenVBand="0" w:oddHBand="1" w:evenHBand="0" w:firstRowFirstColumn="0" w:firstRowLastColumn="0" w:lastRowFirstColumn="0" w:lastRowLastColumn="0"/>
            </w:pPr>
            <w:r w:rsidRPr="00343AD9">
              <w:t>2</w:t>
            </w:r>
            <w:r>
              <w:t>9</w:t>
            </w:r>
            <w:r w:rsidRPr="00343AD9">
              <w:t>.0</w:t>
            </w:r>
            <w:r>
              <w:t>7</w:t>
            </w:r>
            <w:r w:rsidRPr="00343AD9">
              <w:t>.2024</w:t>
            </w:r>
          </w:p>
        </w:tc>
        <w:tc>
          <w:tcPr>
            <w:tcW w:w="3686" w:type="dxa"/>
            <w:vAlign w:val="top"/>
          </w:tcPr>
          <w:p w14:paraId="24E8C474" w14:textId="77777777" w:rsidR="00290B2C" w:rsidRPr="00A60972" w:rsidRDefault="00290B2C" w:rsidP="00E620B5">
            <w:pPr>
              <w:pStyle w:val="TabelleInhalt"/>
              <w:cnfStyle w:val="000000100000" w:firstRow="0" w:lastRow="0" w:firstColumn="0" w:lastColumn="0" w:oddVBand="0" w:evenVBand="0" w:oddHBand="1" w:evenHBand="0" w:firstRowFirstColumn="0" w:firstRowLastColumn="0" w:lastRowFirstColumn="0" w:lastRowLastColumn="0"/>
            </w:pPr>
            <w:r>
              <w:t>28.08.</w:t>
            </w:r>
            <w:r w:rsidRPr="00C150D6">
              <w:t>2024</w:t>
            </w:r>
          </w:p>
        </w:tc>
      </w:tr>
      <w:tr w:rsidR="00290B2C" w:rsidRPr="008D7573" w14:paraId="7CDD0C5D" w14:textId="77777777" w:rsidTr="00CB0AE6">
        <w:tc>
          <w:tcPr>
            <w:cnfStyle w:val="001000000000" w:firstRow="0" w:lastRow="0" w:firstColumn="1" w:lastColumn="0" w:oddVBand="0" w:evenVBand="0" w:oddHBand="0" w:evenHBand="0" w:firstRowFirstColumn="0" w:firstRowLastColumn="0" w:lastRowFirstColumn="0" w:lastRowLastColumn="0"/>
            <w:tcW w:w="3828" w:type="dxa"/>
            <w:gridSpan w:val="2"/>
            <w:vAlign w:val="top"/>
          </w:tcPr>
          <w:p w14:paraId="7F3AFAD0" w14:textId="77777777" w:rsidR="00290B2C" w:rsidRPr="00A60972" w:rsidRDefault="00290B2C" w:rsidP="00E620B5">
            <w:pPr>
              <w:pStyle w:val="TabelleInhalt"/>
            </w:pPr>
            <w:proofErr w:type="spellStart"/>
            <w:r w:rsidRPr="004A4128">
              <w:t>Kapitalertragsteuer</w:t>
            </w:r>
            <w:proofErr w:type="spellEnd"/>
            <w:r w:rsidRPr="004A4128">
              <w:t xml:space="preserve">, </w:t>
            </w:r>
            <w:proofErr w:type="spellStart"/>
            <w:r w:rsidRPr="004A4128">
              <w:t>Solidaritätszuschlag</w:t>
            </w:r>
            <w:proofErr w:type="spellEnd"/>
          </w:p>
        </w:tc>
        <w:tc>
          <w:tcPr>
            <w:tcW w:w="6804" w:type="dxa"/>
            <w:gridSpan w:val="2"/>
            <w:vAlign w:val="top"/>
          </w:tcPr>
          <w:p w14:paraId="14B4F30E" w14:textId="77777777" w:rsidR="00290B2C" w:rsidRPr="00C150D6" w:rsidRDefault="00290B2C" w:rsidP="00E620B5">
            <w:pPr>
              <w:pStyle w:val="TabelleInhalt"/>
              <w:cnfStyle w:val="000000000000" w:firstRow="0" w:lastRow="0" w:firstColumn="0" w:lastColumn="0" w:oddVBand="0" w:evenVBand="0" w:oddHBand="0" w:evenHBand="0" w:firstRowFirstColumn="0" w:firstRowLastColumn="0" w:lastRowFirstColumn="0" w:lastRowLastColumn="0"/>
              <w:rPr>
                <w:lang w:val="de-DE"/>
              </w:rPr>
            </w:pPr>
            <w:r w:rsidRPr="00C150D6">
              <w:rPr>
                <w:lang w:val="de-DE"/>
              </w:rPr>
              <w:t>Die Kapitalertragsteuer sowie der darauf entfallende Solidaritätszuschlag sind zeitgleich mit einer erfolgten Gewinnausschüttung an den Anteilseigner an das zuständige Finanzamt abzuführen.</w:t>
            </w:r>
          </w:p>
        </w:tc>
      </w:tr>
    </w:tbl>
    <w:bookmarkEnd w:id="7"/>
    <w:bookmarkEnd w:id="33"/>
    <w:bookmarkEnd w:id="34"/>
    <w:bookmarkEnd w:id="35"/>
    <w:p w14:paraId="47305966" w14:textId="77777777" w:rsidR="00290B2C" w:rsidRDefault="00290B2C" w:rsidP="00290B2C">
      <w:pPr>
        <w:pStyle w:val="Funote"/>
        <w:ind w:left="284" w:right="-85"/>
      </w:pPr>
      <w:r>
        <w:t>Für den abgelaufenen Monat, bei Vierteljahreszahlern für das abgelaufene Kalendervierteljahr.</w:t>
      </w:r>
    </w:p>
    <w:p w14:paraId="24E28396" w14:textId="77777777" w:rsidR="00290B2C" w:rsidRDefault="00290B2C" w:rsidP="00290B2C">
      <w:pPr>
        <w:pStyle w:val="Funote"/>
        <w:ind w:left="284" w:right="-85"/>
      </w:pPr>
      <w:r>
        <w:t>Für den abgelaufenen Monat.</w:t>
      </w:r>
    </w:p>
    <w:p w14:paraId="20DEC9B1" w14:textId="77777777" w:rsidR="00290B2C" w:rsidRDefault="00290B2C" w:rsidP="00290B2C">
      <w:pPr>
        <w:pStyle w:val="Funote"/>
        <w:ind w:left="284" w:right="-85"/>
      </w:pPr>
      <w:r>
        <w:t>Für den abgelaufenen Monat, bei Dauerfristverlängerung für den vorletzten Monat, bei Vierteljahreszahlern ohne Dauerfristverlängerung für das abgelaufene Kalendervierteljahr.</w:t>
      </w:r>
    </w:p>
    <w:p w14:paraId="1DEC479F" w14:textId="77777777" w:rsidR="00290B2C" w:rsidRDefault="00290B2C" w:rsidP="00290B2C">
      <w:pPr>
        <w:pStyle w:val="Funote"/>
        <w:ind w:left="284" w:right="-85"/>
      </w:pPr>
      <w:r>
        <w:t>Für den abgelaufenen Monat, bei Dauerfristverlängerung für den vorletzten Monat, bei Vierteljahreszahlern mit Dauerfristverlängerung für das abgelaufene Kalendervierteljahr.</w:t>
      </w:r>
    </w:p>
    <w:p w14:paraId="0C845AB5" w14:textId="77777777" w:rsidR="00290B2C" w:rsidRDefault="00290B2C" w:rsidP="00290B2C">
      <w:pPr>
        <w:pStyle w:val="Funote"/>
        <w:ind w:left="284" w:right="-85"/>
      </w:pPr>
      <w:r>
        <w:t>Umsatzsteuervoranmeldungen und Lohnsteueranmeldungen müssen grundsätzlich bis zum 10. des dem Anmeldungszeitraum folgenden Monats (auf elektronischem Weg) abgegeben werden. Fällt der 10. auf einen Samstag, Sonntag oder Feiertag, ist der nächste Werktag der Stichtag. Bei einer Säumnis der Zahlung bis zu drei Tagen werden keine Säumniszuschläge erhoben. Eine Überweisung muss so frühzeitig erfolgen, dass die Wertstellung auf dem Konto des Finanzamts am Tag der Fälligkeit erfolgt.</w:t>
      </w:r>
    </w:p>
    <w:p w14:paraId="4C989138" w14:textId="77777777" w:rsidR="00290B2C" w:rsidRDefault="00290B2C" w:rsidP="00290B2C">
      <w:pPr>
        <w:pStyle w:val="Funote"/>
        <w:ind w:left="284" w:right="-85"/>
      </w:pPr>
      <w:r>
        <w:t>Bei Zahlung durch Scheck ist zu beachten, dass die Zahlung erst drei Tage nach Eingang des Schecks beim Finanzamt als erfolgt gilt. Es sollte stattdessen eine Einzugsermächtigung erteilt werden.</w:t>
      </w:r>
    </w:p>
    <w:p w14:paraId="1407E56B" w14:textId="77777777" w:rsidR="00290B2C" w:rsidRDefault="00290B2C" w:rsidP="00290B2C">
      <w:pPr>
        <w:pStyle w:val="Funote"/>
        <w:ind w:left="284" w:right="-85"/>
      </w:pPr>
      <w:r>
        <w:t>Die Sozialversicherungsbeiträge sind einheitlich am drittletzten Bankarbeitstag des laufenden Monats fällig. Um Säumniszuschläge zu vermeiden, empfiehlt sich das Lastschriftverfahren. Bei allen Krankenkassen gilt ein einheitlicher Abgabetermin für die Beitragsnachweise. Diese müssen der jeweiligen Einzugsstelle bis spätestens zwei Arbeitstage vor Fälligkeit (d. h. am 25.07.2024/263.08.2024, jeweils 0 Uhr) vorliegen. Regionale Besonderheiten bzgl. der Fälligkeiten sind ggf. zu beachten. Wird die Lohnbuchführung durch extern Beauftragte erledigt, sollten die Lohn- und Gehaltsdaten etwa zehn Tage vor dem Fälligkeitstermin an den Beauftragten übermittelt werden. Dies gilt insbesondere, wenn die Fälligkeit auf einen Montag oder auf einen Tag nach Feiertagen fällt.</w:t>
      </w:r>
    </w:p>
    <w:p w14:paraId="0DF8E5B5" w14:textId="77777777" w:rsidR="00290B2C" w:rsidRPr="003563C5" w:rsidRDefault="00290B2C" w:rsidP="00290B2C">
      <w:pPr>
        <w:pStyle w:val="Funote"/>
        <w:ind w:left="284" w:right="-85"/>
      </w:pPr>
      <w:r>
        <w:t>In den Bundesländern und Regionen, in denen der 15.08.2024 ein gesetzlicher Feiertag (Mariä Himmelfahrt) ist, wird die Steuer am 16.08.2024 fällig.</w:t>
      </w:r>
      <w:bookmarkEnd w:id="36"/>
    </w:p>
    <w:sectPr w:rsidR="00290B2C" w:rsidRPr="003563C5" w:rsidSect="002C5544">
      <w:headerReference w:type="default" r:id="rId14"/>
      <w:footerReference w:type="even" r:id="rId15"/>
      <w:footerReference w:type="default" r:id="rId16"/>
      <w:headerReference w:type="first" r:id="rId17"/>
      <w:footerReference w:type="first" r:id="rId18"/>
      <w:pgSz w:w="11906" w:h="16838" w:code="9"/>
      <w:pgMar w:top="1406" w:right="680" w:bottom="890" w:left="680" w:header="431" w:footer="43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1">
      <wne:acd wne:acdName="acd9"/>
    </wne:keymap>
    <wne:keymap wne:kcmPrimary="0643">
      <wne:acd wne:acdName="acd10"/>
    </wne:keymap>
    <wne:keymap wne:kcmPrimary="0646">
      <wne:acd wne:acdName="acd1"/>
    </wne:keymap>
    <wne:keymap wne:kcmPrimary="0647">
      <wne:acd wne:acdName="acd2"/>
    </wne:keymap>
    <wne:keymap wne:kcmPrimary="0651">
      <wne:acd wne:acdName="acd3"/>
    </wne:keymap>
    <wne:keymap wne:kcmPrimary="0653">
      <wne:acd wne:acdName="acd8"/>
    </wne:keymap>
    <wne:keymap wne:kcmPrimary="0654">
      <wne:acd wne:acdName="acd0"/>
    </wne:keymap>
    <wne:keymap wne:kcmPrimary="0657">
      <wne:acd wne:acdName="acd4"/>
    </wne:keymap>
    <wne:keymap wne:kcmPrimary="0658">
      <wne:acd wne:acdName="acd11"/>
    </wne:keymap>
    <wne:keymap wne:kcmPrimary="0659">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UAGkAdABlAGwAXwAxAF8AbABpAGwAYQA=" wne:acdName="acd0" wne:fciIndexBasedOn="0065"/>
    <wne:acd wne:argValue="AgBUAGkAdABlAGwAXwAyAF8AQgBsAGEAYwBrAA==" wne:acdName="acd1" wne:fciIndexBasedOn="0065"/>
    <wne:acd wne:argValue="AgBUAGkAdABlAGwAXwAzAF8AYgBsAGEAYwBrAA==" wne:acdName="acd2" wne:fciIndexBasedOn="0065"/>
    <wne:acd wne:argValue="AgBCAHUAbABsAGUAdAAgAEYAaQByAHMAdAA=" wne:acdName="acd3" wne:fciIndexBasedOn="0065"/>
    <wne:acd wne:argValue="AgBCAHUAbABsAGUAdABzAA==" wne:acdName="acd4" wne:fciIndexBasedOn="0065"/>
    <wne:acd wne:argValue="AgBUAGEAYgBsAGUAIABUAGkAdABlAGwA" wne:acdName="acd5" wne:fciIndexBasedOn="0065"/>
    <wne:acd wne:acdName="acd6" wne:fciIndexBasedOn="0065"/>
    <wne:acd wne:acdName="acd7" wne:fciIndexBasedOn="0065"/>
    <wne:acd wne:argValue="AQAAAAAA" wne:acdName="acd8" wne:fciIndexBasedOn="0065"/>
    <wne:acd wne:argValue="AgBGAGkAZwB1AHIAZQA=" wne:acdName="acd9" wne:fciIndexBasedOn="0065"/>
    <wne:acd wne:argValue="AgBUAGEAYgBlAGwAbABlACAASQBuAGgAYQBsAHQA" wne:acdName="acd10" wne:fciIndexBasedOn="0065"/>
    <wne:acd wne:argValue="AgBUAGEAYgBlAGwAbABlACAA3ABiAGUAcgBzAGMAaAByAGkAZgB0A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ECCC" w14:textId="77777777" w:rsidR="000D027D" w:rsidRDefault="000D027D">
      <w:r>
        <w:separator/>
      </w:r>
    </w:p>
    <w:p w14:paraId="1EBC00EA" w14:textId="77777777" w:rsidR="000D027D" w:rsidRDefault="000D027D"/>
  </w:endnote>
  <w:endnote w:type="continuationSeparator" w:id="0">
    <w:p w14:paraId="010DD0A3" w14:textId="77777777" w:rsidR="000D027D" w:rsidRDefault="000D027D">
      <w:r>
        <w:continuationSeparator/>
      </w:r>
    </w:p>
    <w:p w14:paraId="0A09A1B5" w14:textId="77777777" w:rsidR="000D027D" w:rsidRDefault="000D027D"/>
  </w:endnote>
  <w:endnote w:type="continuationNotice" w:id="1">
    <w:p w14:paraId="00EF4638" w14:textId="77777777" w:rsidR="000D027D" w:rsidRDefault="000D02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utiger Next Com Light">
    <w:altName w:val="Calibri"/>
    <w:charset w:val="00"/>
    <w:family w:val="swiss"/>
    <w:pitch w:val="variable"/>
    <w:sig w:usb0="800000AF" w:usb1="5000204B" w:usb2="00000000" w:usb3="00000000" w:csb0="0000009B" w:csb1="00000000"/>
  </w:font>
  <w:font w:name="Compatil T DATEV">
    <w:charset w:val="00"/>
    <w:family w:val="roman"/>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294A" w14:textId="3DF71A03" w:rsidR="00314CA4" w:rsidRDefault="00314CA4">
    <w:pPr>
      <w:pStyle w:val="Fuzeile"/>
    </w:pPr>
    <w:r>
      <w:rPr>
        <w:noProof/>
      </w:rPr>
      <mc:AlternateContent>
        <mc:Choice Requires="wps">
          <w:drawing>
            <wp:anchor distT="0" distB="0" distL="0" distR="0" simplePos="0" relativeHeight="251604992" behindDoc="0" locked="0" layoutInCell="1" allowOverlap="1" wp14:anchorId="4BADBA35" wp14:editId="001AC9C0">
              <wp:simplePos x="635" y="635"/>
              <wp:positionH relativeFrom="page">
                <wp:align>center</wp:align>
              </wp:positionH>
              <wp:positionV relativeFrom="page">
                <wp:align>bottom</wp:align>
              </wp:positionV>
              <wp:extent cx="443865" cy="443865"/>
              <wp:effectExtent l="0" t="0" r="0" b="0"/>
              <wp:wrapNone/>
              <wp:docPr id="4" name="Textfeld 4"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E2979" w14:textId="5429F0D4" w:rsidR="00314CA4" w:rsidRPr="00314CA4" w:rsidRDefault="00314CA4" w:rsidP="00314CA4">
                          <w:pPr>
                            <w:rPr>
                              <w:rFonts w:ascii="Calibri" w:eastAsia="Calibri" w:hAnsi="Calibri" w:cs="Calibri"/>
                              <w:noProof/>
                              <w:sz w:val="16"/>
                              <w:szCs w:val="16"/>
                            </w:rPr>
                          </w:pPr>
                          <w:r w:rsidRPr="00314CA4">
                            <w:rPr>
                              <w:rFonts w:ascii="Calibri" w:eastAsia="Calibri" w:hAnsi="Calibri" w:cs="Calibri"/>
                              <w:noProof/>
                              <w:sz w:val="16"/>
                              <w:szCs w:val="16"/>
                            </w:rPr>
                            <w:t>– 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DBA35" id="_x0000_t202" coordsize="21600,21600" o:spt="202" path="m,l,21600r21600,l21600,xe">
              <v:stroke joinstyle="miter"/>
              <v:path gradientshapeok="t" o:connecttype="rect"/>
            </v:shapetype>
            <v:shape id="Textfeld 4" o:spid="_x0000_s1026" type="#_x0000_t202" alt="– Intern –" style="position:absolute;margin-left:0;margin-top:0;width:34.95pt;height:34.95pt;z-index:251604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1E2979" w14:textId="5429F0D4" w:rsidR="00314CA4" w:rsidRPr="00314CA4" w:rsidRDefault="00314CA4" w:rsidP="00314CA4">
                    <w:pPr>
                      <w:rPr>
                        <w:rFonts w:ascii="Calibri" w:eastAsia="Calibri" w:hAnsi="Calibri" w:cs="Calibri"/>
                        <w:noProof/>
                        <w:sz w:val="16"/>
                        <w:szCs w:val="16"/>
                      </w:rPr>
                    </w:pPr>
                    <w:r w:rsidRPr="00314CA4">
                      <w:rPr>
                        <w:rFonts w:ascii="Calibri" w:eastAsia="Calibri" w:hAnsi="Calibri" w:cs="Calibri"/>
                        <w:noProof/>
                        <w:sz w:val="16"/>
                        <w:szCs w:val="16"/>
                      </w:rPr>
                      <w:t>– 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0056" w14:textId="623A9ED5" w:rsidR="00EA0FD6" w:rsidRPr="00792F84" w:rsidRDefault="002251AD" w:rsidP="002251AD">
    <w:pPr>
      <w:jc w:val="right"/>
      <w:rPr>
        <w:rStyle w:val="Seitenzahl"/>
      </w:rPr>
    </w:pPr>
    <w:r w:rsidRPr="00792F84">
      <w:rPr>
        <w:rStyle w:val="Seitenzahl"/>
      </w:rPr>
      <w:fldChar w:fldCharType="begin"/>
    </w:r>
    <w:r w:rsidRPr="00792F84">
      <w:rPr>
        <w:rStyle w:val="Seitenzahl"/>
      </w:rPr>
      <w:instrText xml:space="preserve"> PAGE  \* Arabic  \* MERGEFORMAT </w:instrText>
    </w:r>
    <w:r w:rsidRPr="00792F84">
      <w:rPr>
        <w:rStyle w:val="Seitenzahl"/>
      </w:rPr>
      <w:fldChar w:fldCharType="separate"/>
    </w:r>
    <w:r w:rsidRPr="00792F84">
      <w:rPr>
        <w:rStyle w:val="Seitenzahl"/>
      </w:rPr>
      <w:t>2</w:t>
    </w:r>
    <w:r w:rsidRPr="00792F84">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9109" w14:textId="7903BE98" w:rsidR="002251AD" w:rsidRPr="00A36070" w:rsidRDefault="002C5544" w:rsidP="002251AD">
    <w:pPr>
      <w:jc w:val="right"/>
      <w:rPr>
        <w:rStyle w:val="Seitenzahl"/>
        <w:color w:val="FFFFFF" w:themeColor="background1"/>
      </w:rPr>
    </w:pPr>
    <w:r>
      <w:rPr>
        <w:noProof/>
        <w:color w:val="FFFFFF" w:themeColor="background1"/>
        <w:sz w:val="16"/>
      </w:rPr>
      <mc:AlternateContent>
        <mc:Choice Requires="wpg">
          <w:drawing>
            <wp:anchor distT="0" distB="0" distL="114300" distR="114300" simplePos="0" relativeHeight="251726848" behindDoc="1" locked="0" layoutInCell="1" allowOverlap="1" wp14:anchorId="2951E2E9" wp14:editId="1FB3B8D1">
              <wp:simplePos x="0" y="0"/>
              <wp:positionH relativeFrom="page">
                <wp:align>right</wp:align>
              </wp:positionH>
              <wp:positionV relativeFrom="paragraph">
                <wp:posOffset>-201295</wp:posOffset>
              </wp:positionV>
              <wp:extent cx="3038475" cy="756285"/>
              <wp:effectExtent l="0" t="0" r="9525" b="5715"/>
              <wp:wrapNone/>
              <wp:docPr id="1" name="Gruppieren 1"/>
              <wp:cNvGraphicFramePr/>
              <a:graphic xmlns:a="http://schemas.openxmlformats.org/drawingml/2006/main">
                <a:graphicData uri="http://schemas.microsoft.com/office/word/2010/wordprocessingGroup">
                  <wpg:wgp>
                    <wpg:cNvGrpSpPr/>
                    <wpg:grpSpPr>
                      <a:xfrm>
                        <a:off x="0" y="0"/>
                        <a:ext cx="3038475" cy="756285"/>
                        <a:chOff x="0" y="0"/>
                        <a:chExt cx="3038475" cy="756285"/>
                      </a:xfrm>
                    </wpg:grpSpPr>
                    <pic:pic xmlns:pic="http://schemas.openxmlformats.org/drawingml/2006/picture">
                      <pic:nvPicPr>
                        <pic:cNvPr id="258288576" name="Grafik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8475" cy="753110"/>
                        </a:xfrm>
                        <a:prstGeom prst="rect">
                          <a:avLst/>
                        </a:prstGeom>
                      </pic:spPr>
                    </pic:pic>
                    <pic:pic xmlns:pic="http://schemas.openxmlformats.org/drawingml/2006/picture">
                      <pic:nvPicPr>
                        <pic:cNvPr id="666083372" name="Grafik 1"/>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09550" y="133350"/>
                          <a:ext cx="2828290" cy="622935"/>
                        </a:xfrm>
                        <a:prstGeom prst="rect">
                          <a:avLst/>
                        </a:prstGeom>
                      </pic:spPr>
                    </pic:pic>
                  </wpg:wgp>
                </a:graphicData>
              </a:graphic>
            </wp:anchor>
          </w:drawing>
        </mc:Choice>
        <mc:Fallback>
          <w:pict>
            <v:group w14:anchorId="30374CCC" id="Gruppieren 1" o:spid="_x0000_s1026" style="position:absolute;margin-left:188.05pt;margin-top:-15.85pt;width:239.25pt;height:59.55pt;z-index:-251589632;mso-position-horizontal:right;mso-position-horizontal-relative:page" coordsize="30384,75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30384;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">
                <v:imagedata r:id="rId5" o:title=""/>
              </v:shape>
              <v:shape id="Grafik 1" o:spid="_x0000_s1028" type="#_x0000_t75" style="position:absolute;left:2095;top:1333;width:28283;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">
                <v:imagedata r:id="rId6" o:title=""/>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EF14" w14:textId="77777777" w:rsidR="000D027D" w:rsidRPr="00E02684" w:rsidRDefault="000D027D" w:rsidP="00E02684">
      <w:pPr>
        <w:pStyle w:val="Fuzeile"/>
      </w:pPr>
    </w:p>
  </w:footnote>
  <w:footnote w:type="continuationSeparator" w:id="0">
    <w:p w14:paraId="46690CEF" w14:textId="77777777" w:rsidR="000D027D" w:rsidRDefault="000D027D">
      <w:r>
        <w:continuationSeparator/>
      </w:r>
    </w:p>
    <w:p w14:paraId="4722156D" w14:textId="77777777" w:rsidR="000D027D" w:rsidRDefault="000D027D"/>
  </w:footnote>
  <w:footnote w:type="continuationNotice" w:id="1">
    <w:p w14:paraId="757CC6CF" w14:textId="77777777" w:rsidR="000D027D" w:rsidRDefault="000D027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550" w14:textId="3F199625" w:rsidR="00EA0FD6" w:rsidRPr="00CD6ED2" w:rsidRDefault="001938FA" w:rsidP="000F02DD">
    <w:pPr>
      <w:spacing w:before="0"/>
      <w:rPr>
        <w:lang w:val="de-DE"/>
      </w:rPr>
    </w:pPr>
    <w:r>
      <w:rPr>
        <w:noProof/>
      </w:rPr>
      <w:drawing>
        <wp:anchor distT="0" distB="0" distL="114300" distR="114300" simplePos="0" relativeHeight="251731968" behindDoc="1" locked="0" layoutInCell="1" allowOverlap="1" wp14:anchorId="53A1E96C" wp14:editId="5A754FC5">
          <wp:simplePos x="0" y="0"/>
          <wp:positionH relativeFrom="margin">
            <wp:align>right</wp:align>
          </wp:positionH>
          <wp:positionV relativeFrom="paragraph">
            <wp:posOffset>-47625</wp:posOffset>
          </wp:positionV>
          <wp:extent cx="1246954" cy="369193"/>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6954" cy="369193"/>
                  </a:xfrm>
                  <a:prstGeom prst="rect">
                    <a:avLst/>
                  </a:prstGeom>
                </pic:spPr>
              </pic:pic>
            </a:graphicData>
          </a:graphic>
          <wp14:sizeRelH relativeFrom="margin">
            <wp14:pctWidth>0</wp14:pctWidth>
          </wp14:sizeRelH>
          <wp14:sizeRelV relativeFrom="margin">
            <wp14:pctHeight>0</wp14:pctHeight>
          </wp14:sizeRelV>
        </wp:anchor>
      </w:drawing>
    </w:r>
    <w:r w:rsidR="003323C2" w:rsidRPr="00727598">
      <w:rPr>
        <w:b/>
        <w:bCs/>
        <w:noProof/>
        <w:color w:val="005187" w:themeColor="text2"/>
        <w:sz w:val="16"/>
        <w:szCs w:val="16"/>
      </w:rPr>
      <w:drawing>
        <wp:anchor distT="0" distB="0" distL="114300" distR="114300" simplePos="0" relativeHeight="251727872" behindDoc="1" locked="0" layoutInCell="1" allowOverlap="1" wp14:anchorId="1A15A651" wp14:editId="05984EF4">
          <wp:simplePos x="0" y="0"/>
          <wp:positionH relativeFrom="column">
            <wp:posOffset>-437198</wp:posOffset>
          </wp:positionH>
          <wp:positionV relativeFrom="paragraph">
            <wp:posOffset>-269875</wp:posOffset>
          </wp:positionV>
          <wp:extent cx="2914434" cy="629107"/>
          <wp:effectExtent l="0" t="0" r="635" b="0"/>
          <wp:wrapNone/>
          <wp:docPr id="19855120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12055"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914434" cy="629107"/>
                  </a:xfrm>
                  <a:prstGeom prst="rect">
                    <a:avLst/>
                  </a:prstGeom>
                </pic:spPr>
              </pic:pic>
            </a:graphicData>
          </a:graphic>
          <wp14:sizeRelH relativeFrom="margin">
            <wp14:pctWidth>0</wp14:pctWidth>
          </wp14:sizeRelH>
          <wp14:sizeRelV relativeFrom="margin">
            <wp14:pctHeight>0</wp14:pctHeight>
          </wp14:sizeRelV>
        </wp:anchor>
      </w:drawing>
    </w:r>
    <w:r w:rsidR="00761571">
      <w:rPr>
        <w:b/>
        <w:bCs/>
        <w:noProof/>
        <w:color w:val="005187" w:themeColor="text2"/>
        <w:sz w:val="16"/>
        <w:szCs w:val="16"/>
        <w:lang w:val="de-DE"/>
      </w:rPr>
      <w:t>Ju</w:t>
    </w:r>
    <w:r w:rsidR="00E55744">
      <w:rPr>
        <w:b/>
        <w:bCs/>
        <w:noProof/>
        <w:color w:val="005187" w:themeColor="text2"/>
        <w:sz w:val="16"/>
        <w:szCs w:val="16"/>
        <w:lang w:val="de-DE"/>
      </w:rPr>
      <w:t>l</w:t>
    </w:r>
    <w:r w:rsidR="00761571">
      <w:rPr>
        <w:b/>
        <w:bCs/>
        <w:noProof/>
        <w:color w:val="005187" w:themeColor="text2"/>
        <w:sz w:val="16"/>
        <w:szCs w:val="16"/>
        <w:lang w:val="de-DE"/>
      </w:rPr>
      <w:t>i</w:t>
    </w:r>
    <w:r w:rsidR="005D539B" w:rsidRPr="00727598">
      <w:rPr>
        <w:b/>
        <w:bCs/>
        <w:color w:val="005187" w:themeColor="text2"/>
        <w:sz w:val="16"/>
        <w:szCs w:val="20"/>
        <w:lang w:val="de-DE"/>
      </w:rPr>
      <w:t xml:space="preserve"> </w:t>
    </w:r>
    <w:r w:rsidR="005D539B" w:rsidRPr="00CD6ED2">
      <w:rPr>
        <w:b/>
        <w:bCs/>
        <w:color w:val="005187"/>
        <w:sz w:val="16"/>
        <w:szCs w:val="20"/>
        <w:lang w:val="de-DE"/>
      </w:rPr>
      <w:t>202</w:t>
    </w:r>
    <w:r w:rsidR="00C04D65">
      <w:rPr>
        <w:b/>
        <w:bCs/>
        <w:color w:val="005187"/>
        <w:sz w:val="16"/>
        <w:szCs w:val="20"/>
        <w:lang w:val="de-DE"/>
      </w:rPr>
      <w:t>4</w:t>
    </w:r>
    <w:r w:rsidR="005D539B" w:rsidRPr="00CD6ED2">
      <w:rPr>
        <w:sz w:val="16"/>
        <w:szCs w:val="20"/>
        <w:lang w:val="de-DE"/>
      </w:rPr>
      <w:t xml:space="preserve"> </w:t>
    </w:r>
    <w:r w:rsidR="00AE5BC7" w:rsidRPr="00CD6ED2">
      <w:rPr>
        <w:sz w:val="16"/>
        <w:szCs w:val="20"/>
        <w:lang w:val="de-DE"/>
      </w:rPr>
      <w:t>–</w:t>
    </w:r>
    <w:r w:rsidR="005D539B" w:rsidRPr="00CD6ED2">
      <w:rPr>
        <w:sz w:val="16"/>
        <w:szCs w:val="20"/>
        <w:lang w:val="de-DE"/>
      </w:rPr>
      <w:t xml:space="preserve"> Monatsinformationen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C5A1" w14:textId="10B90811" w:rsidR="002429F9" w:rsidRPr="00CD6ED2" w:rsidRDefault="001938FA">
    <w:pPr>
      <w:pStyle w:val="Kopfzeile"/>
      <w:rPr>
        <w:color w:val="FFFFFF" w:themeColor="background1"/>
        <w:lang w:val="de-DE"/>
      </w:rPr>
    </w:pPr>
    <w:r w:rsidRPr="00F1639E">
      <w:rPr>
        <w:noProof/>
        <w:color w:val="FFFFFF" w:themeColor="background1"/>
        <w:szCs w:val="21"/>
      </w:rPr>
      <w:drawing>
        <wp:anchor distT="0" distB="0" distL="114300" distR="114300" simplePos="0" relativeHeight="251729920" behindDoc="1" locked="0" layoutInCell="1" allowOverlap="1" wp14:anchorId="257722B5" wp14:editId="4B85870A">
          <wp:simplePos x="0" y="0"/>
          <wp:positionH relativeFrom="margin">
            <wp:align>right</wp:align>
          </wp:positionH>
          <wp:positionV relativeFrom="paragraph">
            <wp:posOffset>114300</wp:posOffset>
          </wp:positionV>
          <wp:extent cx="2210297" cy="6544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297" cy="654416"/>
                  </a:xfrm>
                  <a:prstGeom prst="rect">
                    <a:avLst/>
                  </a:prstGeom>
                </pic:spPr>
              </pic:pic>
            </a:graphicData>
          </a:graphic>
          <wp14:sizeRelH relativeFrom="margin">
            <wp14:pctWidth>0</wp14:pctWidth>
          </wp14:sizeRelH>
          <wp14:sizeRelV relativeFrom="margin">
            <wp14:pctHeight>0</wp14:pctHeight>
          </wp14:sizeRelV>
        </wp:anchor>
      </w:drawing>
    </w:r>
    <w:r w:rsidR="0095791E">
      <w:rPr>
        <w:noProof/>
      </w:rPr>
      <w:drawing>
        <wp:anchor distT="0" distB="0" distL="114300" distR="114300" simplePos="0" relativeHeight="251722752" behindDoc="1" locked="0" layoutInCell="1" allowOverlap="1" wp14:anchorId="499A7ABB" wp14:editId="44D3E9B1">
          <wp:simplePos x="0" y="0"/>
          <wp:positionH relativeFrom="page">
            <wp:align>left</wp:align>
          </wp:positionH>
          <wp:positionV relativeFrom="paragraph">
            <wp:posOffset>-274003</wp:posOffset>
          </wp:positionV>
          <wp:extent cx="3328988" cy="1543323"/>
          <wp:effectExtent l="0" t="0" r="5080" b="0"/>
          <wp:wrapNone/>
          <wp:docPr id="686977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7774"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360842" cy="1558091"/>
                  </a:xfrm>
                  <a:prstGeom prst="rect">
                    <a:avLst/>
                  </a:prstGeom>
                </pic:spPr>
              </pic:pic>
            </a:graphicData>
          </a:graphic>
          <wp14:sizeRelH relativeFrom="margin">
            <wp14:pctWidth>0</wp14:pctWidth>
          </wp14:sizeRelH>
          <wp14:sizeRelV relativeFrom="margin">
            <wp14:pctHeight>0</wp14:pctHeight>
          </wp14:sizeRelV>
        </wp:anchor>
      </w:drawing>
    </w:r>
    <w:r w:rsidR="00814AD0">
      <w:rPr>
        <w:noProof/>
      </w:rPr>
      <w:drawing>
        <wp:anchor distT="0" distB="0" distL="114300" distR="114300" simplePos="0" relativeHeight="251721728" behindDoc="1" locked="0" layoutInCell="1" allowOverlap="1" wp14:anchorId="5500EF2B" wp14:editId="1EBA83EC">
          <wp:simplePos x="0" y="0"/>
          <wp:positionH relativeFrom="column">
            <wp:posOffset>-427038</wp:posOffset>
          </wp:positionH>
          <wp:positionV relativeFrom="paragraph">
            <wp:posOffset>-273685</wp:posOffset>
          </wp:positionV>
          <wp:extent cx="3481388" cy="1664459"/>
          <wp:effectExtent l="0" t="0" r="5080" b="0"/>
          <wp:wrapNone/>
          <wp:docPr id="13565762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76207"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481388" cy="1664459"/>
                  </a:xfrm>
                  <a:prstGeom prst="rect">
                    <a:avLst/>
                  </a:prstGeom>
                </pic:spPr>
              </pic:pic>
            </a:graphicData>
          </a:graphic>
          <wp14:sizeRelH relativeFrom="margin">
            <wp14:pctWidth>0</wp14:pctWidth>
          </wp14:sizeRelH>
          <wp14:sizeRelV relativeFrom="margin">
            <wp14:pctHeight>0</wp14:pctHeight>
          </wp14:sizeRelV>
        </wp:anchor>
      </w:drawing>
    </w:r>
    <w:r w:rsidR="00893912" w:rsidRPr="00CD6ED2">
      <w:rPr>
        <w:color w:val="FFFFFF" w:themeColor="background1"/>
        <w:lang w:val="de-DE"/>
      </w:rPr>
      <w:t>Monatsinformation</w:t>
    </w:r>
  </w:p>
  <w:p w14:paraId="3FA4A1B3" w14:textId="0B9CDAE9" w:rsidR="002429F9" w:rsidRPr="00F8427E" w:rsidRDefault="00761571" w:rsidP="00893912">
    <w:pPr>
      <w:pStyle w:val="Kopfzeile"/>
      <w:spacing w:before="0"/>
      <w:rPr>
        <w:color w:val="FFFFFF" w:themeColor="background1"/>
        <w:sz w:val="40"/>
        <w:szCs w:val="40"/>
        <w:lang w:val="de-DE"/>
      </w:rPr>
    </w:pPr>
    <w:r>
      <w:rPr>
        <w:color w:val="FFFFFF" w:themeColor="background1"/>
        <w:sz w:val="40"/>
        <w:szCs w:val="40"/>
        <w:lang w:val="de-DE"/>
      </w:rPr>
      <w:t>Ju</w:t>
    </w:r>
    <w:r w:rsidR="00E55744">
      <w:rPr>
        <w:color w:val="FFFFFF" w:themeColor="background1"/>
        <w:sz w:val="40"/>
        <w:szCs w:val="40"/>
        <w:lang w:val="de-DE"/>
      </w:rPr>
      <w:t>l</w:t>
    </w:r>
    <w:r>
      <w:rPr>
        <w:color w:val="FFFFFF" w:themeColor="background1"/>
        <w:sz w:val="40"/>
        <w:szCs w:val="40"/>
        <w:lang w:val="de-DE"/>
      </w:rPr>
      <w:t>i</w:t>
    </w:r>
    <w:r w:rsidR="00893912" w:rsidRPr="00F8427E">
      <w:rPr>
        <w:color w:val="FFFFFF" w:themeColor="background1"/>
        <w:sz w:val="40"/>
        <w:szCs w:val="40"/>
        <w:lang w:val="de-DE"/>
      </w:rPr>
      <w:t xml:space="preserve"> 202</w:t>
    </w:r>
    <w:r w:rsidR="00CD6ED2" w:rsidRPr="00F8427E">
      <w:rPr>
        <w:color w:val="FFFFFF" w:themeColor="background1"/>
        <w:sz w:val="40"/>
        <w:szCs w:val="40"/>
        <w:lang w:val="de-DE"/>
      </w:rPr>
      <w:t>4</w:t>
    </w:r>
  </w:p>
  <w:p w14:paraId="7E4D5AAC" w14:textId="0FBD8EB4" w:rsidR="002429F9" w:rsidRPr="00CD6ED2" w:rsidRDefault="003B080D">
    <w:pPr>
      <w:pStyle w:val="Kopfzeile"/>
      <w:rPr>
        <w:color w:val="FFFFFF" w:themeColor="background1"/>
        <w:lang w:val="de-DE"/>
      </w:rPr>
    </w:pPr>
    <w:r w:rsidRPr="00CD6ED2">
      <w:rPr>
        <w:noProof/>
        <w:color w:val="FFFFFF" w:themeColor="background1"/>
        <w:lang w:val="de-DE"/>
      </w:rPr>
      <mc:AlternateContent>
        <mc:Choice Requires="wps">
          <w:drawing>
            <wp:anchor distT="0" distB="0" distL="114300" distR="114300" simplePos="0" relativeHeight="251600896" behindDoc="0" locked="0" layoutInCell="1" allowOverlap="1" wp14:anchorId="7D14E20F" wp14:editId="11C179F9">
              <wp:simplePos x="0" y="0"/>
              <wp:positionH relativeFrom="column">
                <wp:posOffset>4025900</wp:posOffset>
              </wp:positionH>
              <wp:positionV relativeFrom="paragraph">
                <wp:posOffset>226060</wp:posOffset>
              </wp:positionV>
              <wp:extent cx="2628900" cy="1600200"/>
              <wp:effectExtent l="0" t="0" r="0" b="0"/>
              <wp:wrapNone/>
              <wp:docPr id="470863079" name="Textfeld 2"/>
              <wp:cNvGraphicFramePr/>
              <a:graphic xmlns:a="http://schemas.openxmlformats.org/drawingml/2006/main">
                <a:graphicData uri="http://schemas.microsoft.com/office/word/2010/wordprocessingShape">
                  <wps:wsp>
                    <wps:cNvSpPr txBox="1"/>
                    <wps:spPr>
                      <a:xfrm>
                        <a:off x="0" y="0"/>
                        <a:ext cx="2628900" cy="1600200"/>
                      </a:xfrm>
                      <a:prstGeom prst="rect">
                        <a:avLst/>
                      </a:prstGeom>
                      <a:noFill/>
                      <a:ln w="6350">
                        <a:noFill/>
                      </a:ln>
                    </wps:spPr>
                    <wps:txbx>
                      <w:txbxContent>
                        <w:p w14:paraId="1BA3FB4D" w14:textId="74B52340" w:rsidR="001938FA" w:rsidRDefault="001938FA" w:rsidP="001938FA">
                          <w:pPr>
                            <w:pStyle w:val="Textkrper"/>
                            <w:spacing w:before="120" w:after="0" w:line="240" w:lineRule="auto"/>
                            <w:jc w:val="right"/>
                          </w:pPr>
                          <w:r>
                            <w:t>Max-Planck-Str. 6-8</w:t>
                          </w:r>
                        </w:p>
                        <w:p w14:paraId="4010DF7A" w14:textId="641640BD" w:rsidR="001938FA" w:rsidRPr="002430E6" w:rsidRDefault="001938FA" w:rsidP="001938FA">
                          <w:pPr>
                            <w:pStyle w:val="Textkrper"/>
                            <w:spacing w:before="120" w:after="0" w:line="240" w:lineRule="auto"/>
                            <w:jc w:val="right"/>
                          </w:pPr>
                          <w:r>
                            <w:t>71116</w:t>
                          </w:r>
                          <w:r w:rsidRPr="002430E6">
                            <w:t xml:space="preserve"> </w:t>
                          </w:r>
                          <w:proofErr w:type="spellStart"/>
                          <w:r>
                            <w:t>Gärtringen</w:t>
                          </w:r>
                          <w:proofErr w:type="spellEnd"/>
                        </w:p>
                        <w:p w14:paraId="625A1845" w14:textId="77777777" w:rsidR="001938FA" w:rsidRDefault="001938FA" w:rsidP="001938FA">
                          <w:pPr>
                            <w:pStyle w:val="Textkrper"/>
                            <w:spacing w:before="120" w:after="0" w:line="240" w:lineRule="auto"/>
                            <w:jc w:val="right"/>
                          </w:pPr>
                          <w:proofErr w:type="spellStart"/>
                          <w:r w:rsidRPr="002430E6">
                            <w:t>Telefon</w:t>
                          </w:r>
                          <w:proofErr w:type="spellEnd"/>
                          <w:r w:rsidRPr="002430E6">
                            <w:t xml:space="preserve">: </w:t>
                          </w:r>
                          <w:r>
                            <w:t>07034</w:t>
                          </w:r>
                          <w:r w:rsidRPr="002430E6">
                            <w:t xml:space="preserve"> </w:t>
                          </w:r>
                          <w:r>
                            <w:t>2549 0</w:t>
                          </w:r>
                        </w:p>
                        <w:p w14:paraId="3561FDD0" w14:textId="77777777" w:rsidR="001938FA" w:rsidRDefault="001938FA" w:rsidP="001938FA">
                          <w:pPr>
                            <w:pStyle w:val="Textkrper"/>
                            <w:spacing w:after="0" w:line="240" w:lineRule="auto"/>
                            <w:jc w:val="right"/>
                          </w:pPr>
                          <w:r w:rsidRPr="002430E6">
                            <w:t xml:space="preserve">Telefax: </w:t>
                          </w:r>
                          <w:r>
                            <w:t>07034</w:t>
                          </w:r>
                          <w:r w:rsidRPr="002430E6">
                            <w:t xml:space="preserve"> </w:t>
                          </w:r>
                          <w:r>
                            <w:t>2549 50</w:t>
                          </w:r>
                        </w:p>
                        <w:p w14:paraId="0B52D9E0" w14:textId="77777777" w:rsidR="001938FA" w:rsidRPr="002430E6" w:rsidRDefault="001938FA" w:rsidP="001938FA">
                          <w:pPr>
                            <w:pStyle w:val="Textkrper"/>
                            <w:spacing w:after="0" w:line="240" w:lineRule="auto"/>
                            <w:jc w:val="right"/>
                          </w:pPr>
                          <w:r>
                            <w:t>E-Mail: info@labu-steuer.de</w:t>
                          </w:r>
                        </w:p>
                        <w:p w14:paraId="047D1A87" w14:textId="77777777" w:rsidR="001938FA" w:rsidRPr="002430E6" w:rsidRDefault="001938FA" w:rsidP="001938FA">
                          <w:pPr>
                            <w:pStyle w:val="Textkrper"/>
                            <w:spacing w:after="0" w:line="240" w:lineRule="auto"/>
                            <w:jc w:val="right"/>
                          </w:pPr>
                          <w:r>
                            <w:t>www.labu-steuer.de</w:t>
                          </w:r>
                        </w:p>
                        <w:p w14:paraId="7F624A3F" w14:textId="4DB09DF0" w:rsidR="00836450" w:rsidRPr="00BD311F" w:rsidRDefault="00836450" w:rsidP="001938FA">
                          <w:pPr>
                            <w:pStyle w:val="Kanzlei"/>
                            <w:spacing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4E20F" id="_x0000_t202" coordsize="21600,21600" o:spt="202" path="m,l,21600r21600,l21600,xe">
              <v:stroke joinstyle="miter"/>
              <v:path gradientshapeok="t" o:connecttype="rect"/>
            </v:shapetype>
            <v:shape id="Textfeld 2" o:spid="_x0000_s1027" type="#_x0000_t202" style="position:absolute;margin-left:317pt;margin-top:17.8pt;width:207pt;height:12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" filled="f" stroked="f" strokeweight=".5pt">
              <v:textbox inset="0,0,0,0">
                <w:txbxContent>
                  <w:p w14:paraId="1BA3FB4D" w14:textId="74B52340" w:rsidR="001938FA" w:rsidRDefault="001938FA" w:rsidP="001938FA">
                    <w:pPr>
                      <w:pStyle w:val="Textkrper"/>
                      <w:spacing w:before="120" w:after="0" w:line="240" w:lineRule="auto"/>
                      <w:jc w:val="right"/>
                    </w:pPr>
                    <w:r>
                      <w:t>Max-Planck-Str. 6-8</w:t>
                    </w:r>
                  </w:p>
                  <w:p w14:paraId="4010DF7A" w14:textId="641640BD" w:rsidR="001938FA" w:rsidRPr="002430E6" w:rsidRDefault="001938FA" w:rsidP="001938FA">
                    <w:pPr>
                      <w:pStyle w:val="Textkrper"/>
                      <w:spacing w:before="120" w:after="0" w:line="240" w:lineRule="auto"/>
                      <w:jc w:val="right"/>
                    </w:pPr>
                    <w:r>
                      <w:t>71116</w:t>
                    </w:r>
                    <w:r w:rsidRPr="002430E6">
                      <w:t xml:space="preserve"> </w:t>
                    </w:r>
                    <w:proofErr w:type="spellStart"/>
                    <w:r>
                      <w:t>Gärtringen</w:t>
                    </w:r>
                    <w:proofErr w:type="spellEnd"/>
                  </w:p>
                  <w:p w14:paraId="625A1845" w14:textId="77777777" w:rsidR="001938FA" w:rsidRDefault="001938FA" w:rsidP="001938FA">
                    <w:pPr>
                      <w:pStyle w:val="Textkrper"/>
                      <w:spacing w:before="120" w:after="0" w:line="240" w:lineRule="auto"/>
                      <w:jc w:val="right"/>
                    </w:pPr>
                    <w:proofErr w:type="spellStart"/>
                    <w:r w:rsidRPr="002430E6">
                      <w:t>Telefon</w:t>
                    </w:r>
                    <w:proofErr w:type="spellEnd"/>
                    <w:r w:rsidRPr="002430E6">
                      <w:t xml:space="preserve">: </w:t>
                    </w:r>
                    <w:r>
                      <w:t>07034</w:t>
                    </w:r>
                    <w:r w:rsidRPr="002430E6">
                      <w:t xml:space="preserve"> </w:t>
                    </w:r>
                    <w:r>
                      <w:t>2549 0</w:t>
                    </w:r>
                  </w:p>
                  <w:p w14:paraId="3561FDD0" w14:textId="77777777" w:rsidR="001938FA" w:rsidRDefault="001938FA" w:rsidP="001938FA">
                    <w:pPr>
                      <w:pStyle w:val="Textkrper"/>
                      <w:spacing w:after="0" w:line="240" w:lineRule="auto"/>
                      <w:jc w:val="right"/>
                    </w:pPr>
                    <w:r w:rsidRPr="002430E6">
                      <w:t xml:space="preserve">Telefax: </w:t>
                    </w:r>
                    <w:r>
                      <w:t>07034</w:t>
                    </w:r>
                    <w:r w:rsidRPr="002430E6">
                      <w:t xml:space="preserve"> </w:t>
                    </w:r>
                    <w:r>
                      <w:t>2549 50</w:t>
                    </w:r>
                  </w:p>
                  <w:p w14:paraId="0B52D9E0" w14:textId="77777777" w:rsidR="001938FA" w:rsidRPr="002430E6" w:rsidRDefault="001938FA" w:rsidP="001938FA">
                    <w:pPr>
                      <w:pStyle w:val="Textkrper"/>
                      <w:spacing w:after="0" w:line="240" w:lineRule="auto"/>
                      <w:jc w:val="right"/>
                    </w:pPr>
                    <w:r>
                      <w:t>E-Mail: info@labu-steuer.de</w:t>
                    </w:r>
                  </w:p>
                  <w:p w14:paraId="047D1A87" w14:textId="77777777" w:rsidR="001938FA" w:rsidRPr="002430E6" w:rsidRDefault="001938FA" w:rsidP="001938FA">
                    <w:pPr>
                      <w:pStyle w:val="Textkrper"/>
                      <w:spacing w:after="0" w:line="240" w:lineRule="auto"/>
                      <w:jc w:val="right"/>
                    </w:pPr>
                    <w:r>
                      <w:t>www.labu-steuer.de</w:t>
                    </w:r>
                  </w:p>
                  <w:p w14:paraId="7F624A3F" w14:textId="4DB09DF0" w:rsidR="00836450" w:rsidRPr="00BD311F" w:rsidRDefault="00836450" w:rsidP="001938FA">
                    <w:pPr>
                      <w:pStyle w:val="Kanzlei"/>
                      <w:spacing w:line="240" w:lineRule="auto"/>
                    </w:pPr>
                  </w:p>
                </w:txbxContent>
              </v:textbox>
            </v:shape>
          </w:pict>
        </mc:Fallback>
      </mc:AlternateContent>
    </w:r>
  </w:p>
  <w:p w14:paraId="40472F7A" w14:textId="5B02A695" w:rsidR="002429F9" w:rsidRPr="00CD6ED2" w:rsidRDefault="002429F9" w:rsidP="002F7A4D">
    <w:pPr>
      <w:pStyle w:val="Kopfzeile"/>
      <w:spacing w:before="0"/>
      <w:rPr>
        <w:color w:val="FFFFFF" w:themeColor="background1"/>
        <w:lang w:val="de-DE"/>
      </w:rPr>
    </w:pPr>
  </w:p>
  <w:p w14:paraId="28F44A25" w14:textId="77777777" w:rsidR="002429F9" w:rsidRPr="00CD6ED2" w:rsidRDefault="002429F9" w:rsidP="002F7A4D">
    <w:pPr>
      <w:pStyle w:val="Kopfzeile"/>
      <w:spacing w:before="0"/>
      <w:rPr>
        <w:lang w:val="de-DE"/>
      </w:rPr>
    </w:pPr>
  </w:p>
  <w:p w14:paraId="62CD16FE" w14:textId="77777777" w:rsidR="002429F9" w:rsidRPr="00CD6ED2" w:rsidRDefault="002429F9" w:rsidP="00B15981">
    <w:pPr>
      <w:pStyle w:val="Kopfzeile"/>
      <w:spacing w:before="0" w:after="240"/>
      <w:rPr>
        <w:lang w:val="de-DE"/>
      </w:rPr>
    </w:pPr>
  </w:p>
  <w:p w14:paraId="22C4074E" w14:textId="26AC89FE" w:rsidR="002429F9" w:rsidRPr="00CD6ED2" w:rsidRDefault="002429F9" w:rsidP="00B15981">
    <w:pPr>
      <w:pStyle w:val="Kopfzeile"/>
      <w:spacing w:before="0" w:after="24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549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382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D23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A21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4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28C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F49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86F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CAA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209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F6984"/>
    <w:multiLevelType w:val="multilevel"/>
    <w:tmpl w:val="E7264BD4"/>
    <w:lvl w:ilvl="0">
      <w:start w:val="1"/>
      <w:numFmt w:val="bullet"/>
      <w:pStyle w:val="Bullets"/>
      <w:lvlText w:val=""/>
      <w:lvlJc w:val="left"/>
      <w:pPr>
        <w:tabs>
          <w:tab w:val="num" w:pos="431"/>
        </w:tabs>
        <w:ind w:left="431" w:hanging="431"/>
      </w:pPr>
      <w:rPr>
        <w:rFonts w:ascii="Symbol" w:hAnsi="Symbol" w:hint="default"/>
      </w:rPr>
    </w:lvl>
    <w:lvl w:ilvl="1">
      <w:start w:val="1"/>
      <w:numFmt w:val="bullet"/>
      <w:lvlText w:val="-"/>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Wingdings" w:hAnsi="Wingding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start w:val="1"/>
      <w:numFmt w:val="none"/>
      <w:lvlText w:val=""/>
      <w:lvlJc w:val="left"/>
      <w:pPr>
        <w:tabs>
          <w:tab w:val="num" w:pos="2880"/>
        </w:tabs>
        <w:ind w:left="2880" w:hanging="360"/>
      </w:pPr>
      <w:rPr>
        <w:rFonts w:hint="default"/>
      </w:rPr>
    </w:lvl>
    <w:lvl w:ilvl="6">
      <w:start w:val="1"/>
      <w:numFmt w:val="none"/>
      <w:lvlText w:val=""/>
      <w:lvlJc w:val="left"/>
      <w:pPr>
        <w:tabs>
          <w:tab w:val="num" w:pos="3240"/>
        </w:tabs>
        <w:ind w:left="3240" w:hanging="360"/>
      </w:pPr>
      <w:rPr>
        <w:rFonts w:hint="default"/>
      </w:rPr>
    </w:lvl>
    <w:lvl w:ilvl="7">
      <w:start w:val="1"/>
      <w:numFmt w:val="none"/>
      <w:lvlText w:val=""/>
      <w:lvlJc w:val="left"/>
      <w:pPr>
        <w:tabs>
          <w:tab w:val="num" w:pos="3600"/>
        </w:tabs>
        <w:ind w:left="3600" w:hanging="360"/>
      </w:pPr>
      <w:rPr>
        <w:rFonts w:hint="default"/>
      </w:rPr>
    </w:lvl>
    <w:lvl w:ilvl="8">
      <w:start w:val="1"/>
      <w:numFmt w:val="none"/>
      <w:lvlText w:val=""/>
      <w:lvlJc w:val="left"/>
      <w:pPr>
        <w:tabs>
          <w:tab w:val="num" w:pos="3960"/>
        </w:tabs>
        <w:ind w:left="3960" w:hanging="360"/>
      </w:pPr>
      <w:rPr>
        <w:rFonts w:hint="default"/>
      </w:rPr>
    </w:lvl>
  </w:abstractNum>
  <w:abstractNum w:abstractNumId="11" w15:restartNumberingAfterBreak="0">
    <w:nsid w:val="20FA3C3B"/>
    <w:multiLevelType w:val="multilevel"/>
    <w:tmpl w:val="139ED5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6C52061"/>
    <w:multiLevelType w:val="hybridMultilevel"/>
    <w:tmpl w:val="7A0A7212"/>
    <w:lvl w:ilvl="0" w:tplc="B6988246">
      <w:start w:val="1"/>
      <w:numFmt w:val="decimal"/>
      <w:pStyle w:val="Funote"/>
      <w:lvlText w:val="%1"/>
      <w:lvlJc w:val="left"/>
      <w:pPr>
        <w:ind w:left="928"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EC6D03"/>
    <w:multiLevelType w:val="hybridMultilevel"/>
    <w:tmpl w:val="A49C6052"/>
    <w:lvl w:ilvl="0" w:tplc="1F705DFE">
      <w:start w:val="1"/>
      <w:numFmt w:val="decimal"/>
      <w:pStyle w:val="ListenAuto"/>
      <w:lvlText w:val="%1."/>
      <w:lvlJc w:val="left"/>
      <w:pPr>
        <w:tabs>
          <w:tab w:val="num" w:pos="431"/>
        </w:tabs>
        <w:ind w:left="431" w:hanging="4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27969"/>
    <w:multiLevelType w:val="hybridMultilevel"/>
    <w:tmpl w:val="FCEA2B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1C5F18"/>
    <w:multiLevelType w:val="hybridMultilevel"/>
    <w:tmpl w:val="1C287FFC"/>
    <w:lvl w:ilvl="0" w:tplc="96723F4E">
      <w:start w:val="1"/>
      <w:numFmt w:val="bullet"/>
      <w:pStyle w:val="Listenabsatz"/>
      <w:lvlText w:val=""/>
      <w:lvlJc w:val="left"/>
      <w:pPr>
        <w:ind w:left="71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59211E"/>
    <w:multiLevelType w:val="hybridMultilevel"/>
    <w:tmpl w:val="96DC0120"/>
    <w:lvl w:ilvl="0" w:tplc="7EFE4F1E">
      <w:start w:val="1"/>
      <w:numFmt w:val="bullet"/>
      <w:pStyle w:val="HinweisAufzhlung"/>
      <w:lvlText w:val=""/>
      <w:lvlJc w:val="left"/>
      <w:pPr>
        <w:ind w:left="1004" w:hanging="360"/>
      </w:pPr>
      <w:rPr>
        <w:rFonts w:ascii="Webdings" w:hAnsi="Webdings" w:hint="default"/>
        <w:color w:val="005187" w:themeColor="text2"/>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58F207CA"/>
    <w:multiLevelType w:val="hybridMultilevel"/>
    <w:tmpl w:val="85629DA4"/>
    <w:lvl w:ilvl="0" w:tplc="BA04DEA6">
      <w:start w:val="1"/>
      <w:numFmt w:val="bullet"/>
      <w:pStyle w:val="LISTE"/>
      <w:lvlText w:val=""/>
      <w:lvlJc w:val="left"/>
      <w:pPr>
        <w:ind w:left="644" w:hanging="360"/>
      </w:pPr>
      <w:rPr>
        <w:rFonts w:ascii="Wingdings 2" w:hAnsi="Wingdings 2" w:hint="default"/>
        <w:b w:val="0"/>
        <w:i w:val="0"/>
        <w:caps/>
        <w:strike w:val="0"/>
        <w:dstrike w:val="0"/>
        <w:vanish w:val="0"/>
        <w:color w:val="006C9F"/>
        <w:spacing w:val="0"/>
        <w:w w:val="100"/>
        <w:kern w:val="0"/>
        <w:position w:val="0"/>
        <w:sz w:val="24"/>
        <w:szCs w:val="28"/>
        <w:vertAlign w:val="baseline"/>
      </w:rPr>
    </w:lvl>
    <w:lvl w:ilvl="1" w:tplc="39BE8708">
      <w:start w:val="1"/>
      <w:numFmt w:val="bullet"/>
      <w:pStyle w:val="LISTE2"/>
      <w:lvlText w:val=""/>
      <w:lvlJc w:val="left"/>
      <w:pPr>
        <w:ind w:left="2771" w:hanging="360"/>
      </w:pPr>
      <w:rPr>
        <w:rFonts w:ascii="Symbol" w:hAnsi="Symbol" w:hint="default"/>
        <w:color w:val="006C9F"/>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95F561C"/>
    <w:multiLevelType w:val="hybridMultilevel"/>
    <w:tmpl w:val="93ACCE2A"/>
    <w:lvl w:ilvl="0" w:tplc="5FCEE822">
      <w:start w:val="1"/>
      <w:numFmt w:val="bullet"/>
      <w:pStyle w:val="Aufzhlung"/>
      <w:lvlText w:val=""/>
      <w:lvlJc w:val="left"/>
      <w:pPr>
        <w:ind w:left="720" w:hanging="360"/>
      </w:pPr>
      <w:rPr>
        <w:rFonts w:ascii="Webdings" w:hAnsi="Webdings" w:hint="default"/>
        <w:color w:val="005187" w:themeColor="text2"/>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59695AAC"/>
    <w:multiLevelType w:val="hybridMultilevel"/>
    <w:tmpl w:val="B97A0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D15E6A"/>
    <w:multiLevelType w:val="multilevel"/>
    <w:tmpl w:val="F1C6FA3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264"/>
        </w:tabs>
        <w:ind w:left="1264" w:hanging="1264"/>
      </w:pPr>
      <w:rPr>
        <w:rFonts w:hint="default"/>
      </w:rPr>
    </w:lvl>
    <w:lvl w:ilvl="6">
      <w:start w:val="1"/>
      <w:numFmt w:val="decimal"/>
      <w:lvlText w:val="%1.%2.%3.%4.%5.%6.%7"/>
      <w:lvlJc w:val="left"/>
      <w:pPr>
        <w:tabs>
          <w:tab w:val="num" w:pos="1440"/>
        </w:tabs>
        <w:ind w:left="1296" w:hanging="1296"/>
      </w:pPr>
      <w:rPr>
        <w:rFonts w:hint="default"/>
      </w:rPr>
    </w:lvl>
    <w:lvl w:ilvl="7">
      <w:start w:val="1"/>
      <w:numFmt w:val="decimal"/>
      <w:pStyle w:val="berschrift8"/>
      <w:lvlText w:val="%1.%2.%3.%4.%5.%6.%7.%8"/>
      <w:lvlJc w:val="left"/>
      <w:pPr>
        <w:tabs>
          <w:tab w:val="num" w:pos="1800"/>
        </w:tabs>
        <w:ind w:left="1440" w:hanging="1440"/>
      </w:pPr>
      <w:rPr>
        <w:rFonts w:hint="default"/>
      </w:rPr>
    </w:lvl>
    <w:lvl w:ilvl="8">
      <w:start w:val="1"/>
      <w:numFmt w:val="decimal"/>
      <w:pStyle w:val="berschrift9"/>
      <w:lvlText w:val="%1.%2.%3.%4.%5.%6.%7.%8.%9"/>
      <w:lvlJc w:val="left"/>
      <w:pPr>
        <w:tabs>
          <w:tab w:val="num" w:pos="1800"/>
        </w:tabs>
        <w:ind w:left="1584" w:hanging="1584"/>
      </w:pPr>
      <w:rPr>
        <w:rFonts w:hint="default"/>
      </w:rPr>
    </w:lvl>
  </w:abstractNum>
  <w:abstractNum w:abstractNumId="21" w15:restartNumberingAfterBreak="0">
    <w:nsid w:val="6F654F2A"/>
    <w:multiLevelType w:val="hybridMultilevel"/>
    <w:tmpl w:val="0F1044E8"/>
    <w:lvl w:ilvl="0" w:tplc="0407000F">
      <w:start w:val="1"/>
      <w:numFmt w:val="decimal"/>
      <w:lvlText w:val="%1."/>
      <w:lvlJc w:val="left"/>
      <w:pPr>
        <w:ind w:left="360" w:hanging="360"/>
      </w:pPr>
      <w:rPr>
        <w:rFonts w:hint="default"/>
        <w:color w:val="005187" w:themeColor="text2"/>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83267D2"/>
    <w:multiLevelType w:val="multilevel"/>
    <w:tmpl w:val="489A89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none"/>
      <w:lvlText w:val=""/>
      <w:lvlJc w:val="left"/>
      <w:pPr>
        <w:tabs>
          <w:tab w:val="num" w:pos="1800"/>
        </w:tabs>
        <w:ind w:left="1800" w:hanging="360"/>
      </w:pPr>
      <w:rPr>
        <w:rFonts w:hint="default"/>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num w:numId="1" w16cid:durableId="763259676">
    <w:abstractNumId w:val="20"/>
  </w:num>
  <w:num w:numId="2" w16cid:durableId="1623413401">
    <w:abstractNumId w:val="11"/>
  </w:num>
  <w:num w:numId="3" w16cid:durableId="1849560643">
    <w:abstractNumId w:val="22"/>
  </w:num>
  <w:num w:numId="4" w16cid:durableId="1396969583">
    <w:abstractNumId w:val="10"/>
  </w:num>
  <w:num w:numId="5" w16cid:durableId="381489231">
    <w:abstractNumId w:val="13"/>
  </w:num>
  <w:num w:numId="6" w16cid:durableId="1589266995">
    <w:abstractNumId w:val="9"/>
  </w:num>
  <w:num w:numId="7" w16cid:durableId="1244796101">
    <w:abstractNumId w:val="7"/>
  </w:num>
  <w:num w:numId="8" w16cid:durableId="225186864">
    <w:abstractNumId w:val="6"/>
  </w:num>
  <w:num w:numId="9" w16cid:durableId="505287387">
    <w:abstractNumId w:val="5"/>
  </w:num>
  <w:num w:numId="10" w16cid:durableId="334462236">
    <w:abstractNumId w:val="4"/>
  </w:num>
  <w:num w:numId="11" w16cid:durableId="1820801956">
    <w:abstractNumId w:val="8"/>
  </w:num>
  <w:num w:numId="12" w16cid:durableId="1434670035">
    <w:abstractNumId w:val="3"/>
  </w:num>
  <w:num w:numId="13" w16cid:durableId="495611338">
    <w:abstractNumId w:val="2"/>
  </w:num>
  <w:num w:numId="14" w16cid:durableId="513888198">
    <w:abstractNumId w:val="1"/>
  </w:num>
  <w:num w:numId="15" w16cid:durableId="932274797">
    <w:abstractNumId w:val="0"/>
  </w:num>
  <w:num w:numId="16" w16cid:durableId="1782337516">
    <w:abstractNumId w:val="19"/>
  </w:num>
  <w:num w:numId="17" w16cid:durableId="986398822">
    <w:abstractNumId w:val="15"/>
  </w:num>
  <w:num w:numId="18" w16cid:durableId="161700123">
    <w:abstractNumId w:val="14"/>
  </w:num>
  <w:num w:numId="19" w16cid:durableId="1062757860">
    <w:abstractNumId w:val="18"/>
  </w:num>
  <w:num w:numId="20" w16cid:durableId="449589643">
    <w:abstractNumId w:val="16"/>
  </w:num>
  <w:num w:numId="21" w16cid:durableId="1212960926">
    <w:abstractNumId w:val="21"/>
  </w:num>
  <w:num w:numId="22" w16cid:durableId="1755468667">
    <w:abstractNumId w:val="17"/>
  </w:num>
  <w:num w:numId="23" w16cid:durableId="1255476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o:colormru v:ext="edit" colors="#46166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4D"/>
    <w:rsid w:val="00021F2A"/>
    <w:rsid w:val="000675DB"/>
    <w:rsid w:val="00083B1D"/>
    <w:rsid w:val="00085E02"/>
    <w:rsid w:val="000C5060"/>
    <w:rsid w:val="000D027D"/>
    <w:rsid w:val="000D26CD"/>
    <w:rsid w:val="000F02DD"/>
    <w:rsid w:val="00127160"/>
    <w:rsid w:val="00142E8F"/>
    <w:rsid w:val="001435B4"/>
    <w:rsid w:val="00151563"/>
    <w:rsid w:val="00161811"/>
    <w:rsid w:val="00165CFE"/>
    <w:rsid w:val="00171906"/>
    <w:rsid w:val="00193192"/>
    <w:rsid w:val="001938FA"/>
    <w:rsid w:val="00197315"/>
    <w:rsid w:val="001A6064"/>
    <w:rsid w:val="001B19BC"/>
    <w:rsid w:val="001C098B"/>
    <w:rsid w:val="001D571B"/>
    <w:rsid w:val="001E4D47"/>
    <w:rsid w:val="001F08D0"/>
    <w:rsid w:val="001F31CE"/>
    <w:rsid w:val="002251AD"/>
    <w:rsid w:val="00227FB2"/>
    <w:rsid w:val="002429F9"/>
    <w:rsid w:val="00253695"/>
    <w:rsid w:val="002757E2"/>
    <w:rsid w:val="002903BB"/>
    <w:rsid w:val="00290B2C"/>
    <w:rsid w:val="002C5544"/>
    <w:rsid w:val="002F7A4D"/>
    <w:rsid w:val="00311D83"/>
    <w:rsid w:val="00313E31"/>
    <w:rsid w:val="00314CA4"/>
    <w:rsid w:val="003323C2"/>
    <w:rsid w:val="003510B7"/>
    <w:rsid w:val="003511E7"/>
    <w:rsid w:val="0036085A"/>
    <w:rsid w:val="003652D3"/>
    <w:rsid w:val="0038029D"/>
    <w:rsid w:val="003B080D"/>
    <w:rsid w:val="003B3349"/>
    <w:rsid w:val="003D1434"/>
    <w:rsid w:val="003D69CD"/>
    <w:rsid w:val="003F521D"/>
    <w:rsid w:val="003F52DC"/>
    <w:rsid w:val="0042192A"/>
    <w:rsid w:val="004262E7"/>
    <w:rsid w:val="00463272"/>
    <w:rsid w:val="00464214"/>
    <w:rsid w:val="00467EE4"/>
    <w:rsid w:val="0048630B"/>
    <w:rsid w:val="004B1FC2"/>
    <w:rsid w:val="004C606E"/>
    <w:rsid w:val="004D0D16"/>
    <w:rsid w:val="004E6E94"/>
    <w:rsid w:val="004F689A"/>
    <w:rsid w:val="005153AC"/>
    <w:rsid w:val="005166BD"/>
    <w:rsid w:val="00524175"/>
    <w:rsid w:val="0054331F"/>
    <w:rsid w:val="0055054C"/>
    <w:rsid w:val="00554EF3"/>
    <w:rsid w:val="005614E4"/>
    <w:rsid w:val="005703FB"/>
    <w:rsid w:val="0057314D"/>
    <w:rsid w:val="00574418"/>
    <w:rsid w:val="005D2F99"/>
    <w:rsid w:val="005D539B"/>
    <w:rsid w:val="005E16A0"/>
    <w:rsid w:val="005E3B7A"/>
    <w:rsid w:val="005F121C"/>
    <w:rsid w:val="00613532"/>
    <w:rsid w:val="006178AE"/>
    <w:rsid w:val="00633F0F"/>
    <w:rsid w:val="00634FFC"/>
    <w:rsid w:val="006C536E"/>
    <w:rsid w:val="006D3D18"/>
    <w:rsid w:val="006F0BF5"/>
    <w:rsid w:val="006F4DE3"/>
    <w:rsid w:val="007037F2"/>
    <w:rsid w:val="00712855"/>
    <w:rsid w:val="00727598"/>
    <w:rsid w:val="00730BE6"/>
    <w:rsid w:val="00745866"/>
    <w:rsid w:val="00757871"/>
    <w:rsid w:val="00757B65"/>
    <w:rsid w:val="00761571"/>
    <w:rsid w:val="007824CF"/>
    <w:rsid w:val="00792F84"/>
    <w:rsid w:val="00792F90"/>
    <w:rsid w:val="00793AA0"/>
    <w:rsid w:val="007B0484"/>
    <w:rsid w:val="007B6B41"/>
    <w:rsid w:val="007B703E"/>
    <w:rsid w:val="007C79A3"/>
    <w:rsid w:val="007E4B1E"/>
    <w:rsid w:val="00814AD0"/>
    <w:rsid w:val="008348C2"/>
    <w:rsid w:val="00836450"/>
    <w:rsid w:val="00842D0C"/>
    <w:rsid w:val="0084376F"/>
    <w:rsid w:val="0086037B"/>
    <w:rsid w:val="00893912"/>
    <w:rsid w:val="008950BF"/>
    <w:rsid w:val="008A3AC4"/>
    <w:rsid w:val="008B3F7F"/>
    <w:rsid w:val="008C43B8"/>
    <w:rsid w:val="008D7573"/>
    <w:rsid w:val="009116CA"/>
    <w:rsid w:val="009376A0"/>
    <w:rsid w:val="00940385"/>
    <w:rsid w:val="00946860"/>
    <w:rsid w:val="00947D81"/>
    <w:rsid w:val="0095791E"/>
    <w:rsid w:val="0099697B"/>
    <w:rsid w:val="00996DBA"/>
    <w:rsid w:val="009A227E"/>
    <w:rsid w:val="009B629D"/>
    <w:rsid w:val="009C0B1C"/>
    <w:rsid w:val="009C61F6"/>
    <w:rsid w:val="009D2370"/>
    <w:rsid w:val="009F11B3"/>
    <w:rsid w:val="00A21957"/>
    <w:rsid w:val="00A35236"/>
    <w:rsid w:val="00A36070"/>
    <w:rsid w:val="00A63428"/>
    <w:rsid w:val="00A66C4B"/>
    <w:rsid w:val="00A7282D"/>
    <w:rsid w:val="00A73C24"/>
    <w:rsid w:val="00A779CC"/>
    <w:rsid w:val="00A87937"/>
    <w:rsid w:val="00A966AB"/>
    <w:rsid w:val="00AA39BB"/>
    <w:rsid w:val="00AB3BD0"/>
    <w:rsid w:val="00AC0167"/>
    <w:rsid w:val="00AC06E0"/>
    <w:rsid w:val="00AC31F3"/>
    <w:rsid w:val="00AC70B1"/>
    <w:rsid w:val="00AE446D"/>
    <w:rsid w:val="00AE5BC7"/>
    <w:rsid w:val="00B15981"/>
    <w:rsid w:val="00B21710"/>
    <w:rsid w:val="00B23136"/>
    <w:rsid w:val="00B62354"/>
    <w:rsid w:val="00B80C55"/>
    <w:rsid w:val="00B912DB"/>
    <w:rsid w:val="00BA4097"/>
    <w:rsid w:val="00BB44CA"/>
    <w:rsid w:val="00BC229B"/>
    <w:rsid w:val="00BC6A95"/>
    <w:rsid w:val="00BD154C"/>
    <w:rsid w:val="00BD311F"/>
    <w:rsid w:val="00BE66DC"/>
    <w:rsid w:val="00BF2064"/>
    <w:rsid w:val="00C00984"/>
    <w:rsid w:val="00C0225B"/>
    <w:rsid w:val="00C04D65"/>
    <w:rsid w:val="00C10B00"/>
    <w:rsid w:val="00C150D6"/>
    <w:rsid w:val="00C361D0"/>
    <w:rsid w:val="00C549CD"/>
    <w:rsid w:val="00C5572F"/>
    <w:rsid w:val="00C65E91"/>
    <w:rsid w:val="00C92094"/>
    <w:rsid w:val="00CA195F"/>
    <w:rsid w:val="00CB0AE6"/>
    <w:rsid w:val="00CD5AFF"/>
    <w:rsid w:val="00CD5D6C"/>
    <w:rsid w:val="00CD6ED2"/>
    <w:rsid w:val="00CE144F"/>
    <w:rsid w:val="00D20766"/>
    <w:rsid w:val="00D607AB"/>
    <w:rsid w:val="00D92128"/>
    <w:rsid w:val="00DA39C4"/>
    <w:rsid w:val="00DE021F"/>
    <w:rsid w:val="00DE5283"/>
    <w:rsid w:val="00DF57C8"/>
    <w:rsid w:val="00E02684"/>
    <w:rsid w:val="00E06CDD"/>
    <w:rsid w:val="00E25FE3"/>
    <w:rsid w:val="00E55744"/>
    <w:rsid w:val="00E55D19"/>
    <w:rsid w:val="00E55E44"/>
    <w:rsid w:val="00E87470"/>
    <w:rsid w:val="00E9651D"/>
    <w:rsid w:val="00EA0FD6"/>
    <w:rsid w:val="00EA5E53"/>
    <w:rsid w:val="00EB0FED"/>
    <w:rsid w:val="00ED63F5"/>
    <w:rsid w:val="00EE0251"/>
    <w:rsid w:val="00EF78EE"/>
    <w:rsid w:val="00F11DE3"/>
    <w:rsid w:val="00F330AB"/>
    <w:rsid w:val="00F3569F"/>
    <w:rsid w:val="00F4768F"/>
    <w:rsid w:val="00F73A46"/>
    <w:rsid w:val="00F8427E"/>
    <w:rsid w:val="00FA09D9"/>
    <w:rsid w:val="00FA1A87"/>
    <w:rsid w:val="00FA6DFA"/>
    <w:rsid w:val="00FD179E"/>
    <w:rsid w:val="00FE506E"/>
    <w:rsid w:val="00FF1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6166c"/>
    </o:shapedefaults>
    <o:shapelayout v:ext="edit">
      <o:idmap v:ext="edit" data="2"/>
    </o:shapelayout>
  </w:shapeDefaults>
  <w:decimalSymbol w:val=","/>
  <w:listSeparator w:val=";"/>
  <w14:docId w14:val="0E239160"/>
  <w15:chartTrackingRefBased/>
  <w15:docId w15:val="{AD98FE6A-7032-4B81-9FFE-16479C29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31F"/>
    <w:pPr>
      <w:spacing w:before="160" w:line="288" w:lineRule="auto"/>
    </w:pPr>
    <w:rPr>
      <w:rFonts w:ascii="Segoe UI" w:hAnsi="Segoe UI"/>
      <w:color w:val="000000"/>
      <w:szCs w:val="24"/>
      <w:lang w:val="en-GB" w:eastAsia="en-US"/>
    </w:rPr>
  </w:style>
  <w:style w:type="paragraph" w:styleId="berschrift1">
    <w:name w:val="heading 1"/>
    <w:next w:val="Standard"/>
    <w:link w:val="berschrift1Zchn"/>
    <w:qFormat/>
    <w:rsid w:val="001F08D0"/>
    <w:pPr>
      <w:keepNext/>
      <w:pBdr>
        <w:bottom w:val="single" w:sz="2" w:space="1" w:color="6697B7"/>
      </w:pBdr>
      <w:spacing w:before="600" w:after="120"/>
      <w:outlineLvl w:val="0"/>
    </w:pPr>
    <w:rPr>
      <w:rFonts w:ascii="Segoe UI Semibold" w:hAnsi="Segoe UI Semibold" w:cs="Arial"/>
      <w:bCs/>
      <w:color w:val="6697B7"/>
      <w:kern w:val="32"/>
      <w:szCs w:val="24"/>
      <w:lang w:val="en-GB" w:eastAsia="en-US"/>
    </w:rPr>
  </w:style>
  <w:style w:type="paragraph" w:styleId="berschrift2">
    <w:name w:val="heading 2"/>
    <w:next w:val="Standard"/>
    <w:link w:val="berschrift2Zchn"/>
    <w:qFormat/>
    <w:rsid w:val="00CE144F"/>
    <w:pPr>
      <w:keepNext/>
      <w:spacing w:before="240" w:after="160"/>
      <w:outlineLvl w:val="1"/>
    </w:pPr>
    <w:rPr>
      <w:rFonts w:ascii="Segoe UI Semibold" w:hAnsi="Segoe UI Semibold" w:cs="Arial"/>
      <w:bCs/>
      <w:iCs/>
      <w:color w:val="005187"/>
      <w:sz w:val="26"/>
      <w:szCs w:val="28"/>
      <w:lang w:val="en-GB" w:eastAsia="en-US"/>
    </w:rPr>
  </w:style>
  <w:style w:type="paragraph" w:styleId="berschrift3">
    <w:name w:val="heading 3"/>
    <w:next w:val="Standard"/>
    <w:qFormat/>
    <w:rsid w:val="00E06CDD"/>
    <w:pPr>
      <w:keepNext/>
      <w:spacing w:before="360"/>
      <w:outlineLvl w:val="2"/>
    </w:pPr>
    <w:rPr>
      <w:rFonts w:ascii="Segoe UI" w:hAnsi="Segoe UI" w:cs="Arial"/>
      <w:bCs/>
      <w:color w:val="000000" w:themeColor="text1"/>
      <w:szCs w:val="24"/>
      <w:lang w:val="en-GB" w:eastAsia="en-US"/>
    </w:rPr>
  </w:style>
  <w:style w:type="paragraph" w:styleId="berschrift4">
    <w:name w:val="heading 4"/>
    <w:next w:val="Standard"/>
    <w:rsid w:val="004E6E94"/>
    <w:pPr>
      <w:keepNext/>
      <w:spacing w:before="360"/>
      <w:outlineLvl w:val="3"/>
    </w:pPr>
    <w:rPr>
      <w:rFonts w:ascii="Segoe UI" w:hAnsi="Segoe UI"/>
      <w:bCs/>
      <w:color w:val="000000"/>
      <w:szCs w:val="28"/>
      <w:lang w:val="en-GB" w:eastAsia="en-US"/>
    </w:rPr>
  </w:style>
  <w:style w:type="paragraph" w:styleId="berschrift5">
    <w:name w:val="heading 5"/>
    <w:basedOn w:val="berschrift4"/>
    <w:next w:val="Standard"/>
    <w:rsid w:val="005D539B"/>
    <w:pPr>
      <w:outlineLvl w:val="4"/>
    </w:pPr>
    <w:rPr>
      <w:bCs w:val="0"/>
      <w:iCs/>
      <w:color w:val="000000" w:themeColor="text1"/>
      <w:szCs w:val="26"/>
    </w:rPr>
  </w:style>
  <w:style w:type="paragraph" w:styleId="berschrift6">
    <w:name w:val="heading 6"/>
    <w:basedOn w:val="berschrift4"/>
    <w:next w:val="Standard"/>
    <w:rsid w:val="006F4DE3"/>
    <w:pPr>
      <w:outlineLvl w:val="5"/>
    </w:pPr>
    <w:rPr>
      <w:bCs w:val="0"/>
      <w:color w:val="000000" w:themeColor="text1"/>
      <w:szCs w:val="22"/>
    </w:rPr>
  </w:style>
  <w:style w:type="paragraph" w:styleId="berschrift7">
    <w:name w:val="heading 7"/>
    <w:basedOn w:val="berschrift4"/>
    <w:next w:val="Standard"/>
    <w:rsid w:val="006F4DE3"/>
    <w:pPr>
      <w:outlineLvl w:val="6"/>
    </w:pPr>
  </w:style>
  <w:style w:type="paragraph" w:styleId="berschrift8">
    <w:name w:val="heading 8"/>
    <w:basedOn w:val="Standard"/>
    <w:next w:val="Standard"/>
    <w:pPr>
      <w:numPr>
        <w:ilvl w:val="7"/>
        <w:numId w:val="1"/>
      </w:numPr>
      <w:spacing w:before="240" w:after="60"/>
      <w:outlineLvl w:val="7"/>
    </w:pPr>
    <w:rPr>
      <w:i/>
      <w:iCs/>
    </w:rPr>
  </w:style>
  <w:style w:type="paragraph" w:styleId="berschrift9">
    <w:name w:val="heading 9"/>
    <w:basedOn w:val="Standard"/>
    <w:next w:val="Standard"/>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customStyle="1" w:styleId="Titel3black">
    <w:name w:val="Titel_3_black"/>
    <w:basedOn w:val="Standard"/>
    <w:rsid w:val="005F0C77"/>
    <w:pPr>
      <w:spacing w:before="240" w:after="60" w:line="360" w:lineRule="auto"/>
      <w:ind w:left="851"/>
    </w:pPr>
    <w:rPr>
      <w:sz w:val="32"/>
      <w:szCs w:val="20"/>
    </w:rPr>
  </w:style>
  <w:style w:type="paragraph" w:customStyle="1" w:styleId="header1purple">
    <w:name w:val="header_1 purple"/>
    <w:basedOn w:val="Standard"/>
    <w:rsid w:val="00BF5554"/>
    <w:rPr>
      <w:color w:val="46166B"/>
    </w:rPr>
  </w:style>
  <w:style w:type="paragraph" w:styleId="Fuzeile">
    <w:name w:val="footer"/>
    <w:rsid w:val="004E319B"/>
    <w:pPr>
      <w:tabs>
        <w:tab w:val="center" w:pos="4153"/>
        <w:tab w:val="right" w:pos="8306"/>
      </w:tabs>
    </w:pPr>
    <w:rPr>
      <w:rFonts w:ascii="Arial" w:hAnsi="Arial"/>
      <w:sz w:val="12"/>
      <w:lang w:val="en-GB" w:eastAsia="en-US"/>
    </w:rPr>
  </w:style>
  <w:style w:type="character" w:styleId="Seitenzahl">
    <w:name w:val="page number"/>
    <w:basedOn w:val="Absatz-Standardschriftart"/>
    <w:rsid w:val="00A36070"/>
    <w:rPr>
      <w:rFonts w:ascii="Segoe UI" w:hAnsi="Segoe UI"/>
      <w:color w:val="auto"/>
      <w:sz w:val="16"/>
      <w:lang w:val="en-GB"/>
    </w:rPr>
  </w:style>
  <w:style w:type="paragraph" w:styleId="Verzeichnis3">
    <w:name w:val="toc 3"/>
    <w:basedOn w:val="Standard"/>
    <w:next w:val="Standard"/>
    <w:autoRedefine/>
    <w:uiPriority w:val="39"/>
    <w:pPr>
      <w:spacing w:before="60"/>
      <w:ind w:left="170"/>
    </w:pPr>
    <w:rPr>
      <w:szCs w:val="26"/>
    </w:rPr>
  </w:style>
  <w:style w:type="paragraph" w:customStyle="1" w:styleId="PartX">
    <w:name w:val="Part_X"/>
    <w:pPr>
      <w:spacing w:before="400"/>
      <w:ind w:left="851"/>
      <w:jc w:val="center"/>
    </w:pPr>
    <w:rPr>
      <w:rFonts w:ascii="Arial" w:hAnsi="Arial"/>
      <w:color w:val="000000"/>
      <w:sz w:val="32"/>
      <w:lang w:val="en-GB" w:eastAsia="en-US"/>
    </w:rPr>
  </w:style>
  <w:style w:type="paragraph" w:customStyle="1" w:styleId="PSD">
    <w:name w:val="PSD"/>
    <w:pPr>
      <w:spacing w:before="400"/>
      <w:ind w:left="851"/>
      <w:jc w:val="center"/>
    </w:pPr>
    <w:rPr>
      <w:rFonts w:ascii="Arial" w:hAnsi="Arial"/>
      <w:color w:val="000000"/>
      <w:sz w:val="32"/>
      <w:lang w:val="en-GB" w:eastAsia="en-US"/>
    </w:rPr>
  </w:style>
  <w:style w:type="paragraph" w:customStyle="1" w:styleId="Bullets">
    <w:name w:val="Bullets"/>
    <w:basedOn w:val="Standard"/>
    <w:pPr>
      <w:numPr>
        <w:numId w:val="4"/>
      </w:numPr>
    </w:pPr>
    <w:rPr>
      <w:color w:val="auto"/>
      <w:lang w:val="de-DE"/>
    </w:rPr>
  </w:style>
  <w:style w:type="paragraph" w:customStyle="1" w:styleId="ListenAuto">
    <w:name w:val="Listen_Auto"/>
    <w:basedOn w:val="Standard"/>
    <w:pPr>
      <w:numPr>
        <w:numId w:val="5"/>
      </w:numPr>
    </w:pPr>
  </w:style>
  <w:style w:type="paragraph" w:customStyle="1" w:styleId="ListenManuel">
    <w:name w:val="Listen_Manuel"/>
    <w:basedOn w:val="Standard"/>
    <w:pPr>
      <w:ind w:left="431" w:hanging="431"/>
    </w:pPr>
  </w:style>
  <w:style w:type="paragraph" w:customStyle="1" w:styleId="Figure">
    <w:name w:val="Figure"/>
    <w:next w:val="Standard"/>
    <w:rsid w:val="00310448"/>
    <w:pPr>
      <w:spacing w:before="120"/>
    </w:pPr>
    <w:rPr>
      <w:rFonts w:ascii="Arial" w:hAnsi="Arial"/>
      <w:i/>
      <w:sz w:val="16"/>
      <w:lang w:val="en-GB" w:eastAsia="en-US"/>
    </w:rPr>
  </w:style>
  <w:style w:type="paragraph" w:customStyle="1" w:styleId="PullQuote">
    <w:name w:val="Pull Quote"/>
    <w:next w:val="Standard"/>
    <w:rsid w:val="00964288"/>
    <w:pPr>
      <w:pBdr>
        <w:top w:val="single" w:sz="24" w:space="1" w:color="46166B"/>
        <w:bottom w:val="single" w:sz="12" w:space="1" w:color="999999"/>
      </w:pBdr>
      <w:spacing w:before="120" w:after="120"/>
      <w:ind w:left="851"/>
      <w:jc w:val="center"/>
    </w:pPr>
    <w:rPr>
      <w:rFonts w:ascii="Arial Narrow" w:hAnsi="Arial Narrow"/>
      <w:b/>
      <w:sz w:val="24"/>
      <w:lang w:eastAsia="en-US"/>
    </w:rPr>
  </w:style>
  <w:style w:type="paragraph" w:customStyle="1" w:styleId="TableTitel">
    <w:name w:val="Table Titel"/>
    <w:rsid w:val="003065F1"/>
    <w:pPr>
      <w:spacing w:before="160" w:after="160"/>
      <w:ind w:left="284"/>
    </w:pPr>
    <w:rPr>
      <w:rFonts w:ascii="Arial Black" w:hAnsi="Arial Black"/>
      <w:color w:val="000000"/>
      <w:lang w:val="en-GB" w:eastAsia="en-US"/>
    </w:rPr>
  </w:style>
  <w:style w:type="paragraph" w:customStyle="1" w:styleId="TabelleInhalt">
    <w:name w:val="Tabelle Inhalt"/>
    <w:qFormat/>
    <w:rsid w:val="004F689A"/>
    <w:pPr>
      <w:spacing w:before="60" w:after="60"/>
    </w:pPr>
    <w:rPr>
      <w:rFonts w:ascii="Segoe UI" w:hAnsi="Segoe UI"/>
      <w:sz w:val="15"/>
      <w:lang w:val="en-GB" w:eastAsia="en-US"/>
    </w:rPr>
  </w:style>
  <w:style w:type="paragraph" w:customStyle="1" w:styleId="Tabelleberschrift">
    <w:name w:val="Tabelle Überschrift"/>
    <w:basedOn w:val="TabelleInhalt"/>
    <w:qFormat/>
    <w:rsid w:val="009C0B1C"/>
    <w:rPr>
      <w:b/>
      <w:color w:val="FFFFFF" w:themeColor="background1"/>
    </w:rPr>
  </w:style>
  <w:style w:type="paragraph" w:customStyle="1" w:styleId="BulletFirst">
    <w:name w:val="Bullet First"/>
    <w:basedOn w:val="Bullets"/>
    <w:next w:val="Bullets"/>
    <w:rsid w:val="00C105C9"/>
    <w:pPr>
      <w:spacing w:before="280"/>
    </w:pPr>
    <w:rPr>
      <w:lang w:val="en-GB"/>
    </w:rPr>
  </w:style>
  <w:style w:type="paragraph" w:styleId="Verzeichnis1">
    <w:name w:val="toc 1"/>
    <w:basedOn w:val="Standard"/>
    <w:next w:val="Standard"/>
    <w:autoRedefine/>
    <w:uiPriority w:val="39"/>
    <w:rsid w:val="0080318D"/>
    <w:pPr>
      <w:tabs>
        <w:tab w:val="left" w:pos="340"/>
        <w:tab w:val="right" w:leader="dot" w:pos="9016"/>
      </w:tabs>
      <w:spacing w:before="120"/>
      <w:ind w:left="340" w:hanging="340"/>
    </w:pPr>
    <w:rPr>
      <w:b/>
      <w:bCs/>
      <w:caps/>
      <w:noProof/>
      <w:sz w:val="24"/>
      <w:szCs w:val="26"/>
      <w:lang w:val="de-DE"/>
    </w:rPr>
  </w:style>
  <w:style w:type="paragraph" w:styleId="Verzeichnis2">
    <w:name w:val="toc 2"/>
    <w:basedOn w:val="Standard"/>
    <w:next w:val="Standard"/>
    <w:autoRedefine/>
    <w:uiPriority w:val="39"/>
    <w:pPr>
      <w:spacing w:before="60"/>
      <w:ind w:left="170"/>
    </w:pPr>
    <w:rPr>
      <w:bCs/>
      <w:noProof/>
      <w:szCs w:val="26"/>
      <w:lang w:val="de-DE"/>
    </w:rPr>
  </w:style>
  <w:style w:type="paragraph" w:styleId="Verzeichnis4">
    <w:name w:val="toc 4"/>
    <w:basedOn w:val="Standard"/>
    <w:next w:val="Standard"/>
    <w:autoRedefine/>
    <w:uiPriority w:val="39"/>
    <w:pPr>
      <w:spacing w:before="60"/>
      <w:ind w:left="170"/>
    </w:pPr>
    <w:rPr>
      <w:szCs w:val="26"/>
    </w:rPr>
  </w:style>
  <w:style w:type="paragraph" w:styleId="Verzeichnis5">
    <w:name w:val="toc 5"/>
    <w:basedOn w:val="Standard"/>
    <w:next w:val="Standard"/>
    <w:autoRedefine/>
    <w:uiPriority w:val="39"/>
    <w:pPr>
      <w:spacing w:before="60"/>
      <w:ind w:left="170"/>
    </w:pPr>
    <w:rPr>
      <w:szCs w:val="26"/>
    </w:rPr>
  </w:style>
  <w:style w:type="paragraph" w:styleId="Verzeichnis6">
    <w:name w:val="toc 6"/>
    <w:basedOn w:val="Standard"/>
    <w:next w:val="Standard"/>
    <w:autoRedefine/>
    <w:semiHidden/>
    <w:pPr>
      <w:spacing w:before="60"/>
      <w:ind w:left="170"/>
    </w:pPr>
    <w:rPr>
      <w:szCs w:val="26"/>
    </w:rPr>
  </w:style>
  <w:style w:type="paragraph" w:styleId="Verzeichnis7">
    <w:name w:val="toc 7"/>
    <w:basedOn w:val="Standard"/>
    <w:next w:val="Standard"/>
    <w:autoRedefine/>
    <w:semiHidden/>
    <w:pPr>
      <w:spacing w:before="60"/>
      <w:ind w:left="170"/>
    </w:pPr>
    <w:rPr>
      <w:szCs w:val="26"/>
    </w:rPr>
  </w:style>
  <w:style w:type="paragraph" w:styleId="Verzeichnis8">
    <w:name w:val="toc 8"/>
    <w:basedOn w:val="Standard"/>
    <w:next w:val="Standard"/>
    <w:autoRedefine/>
    <w:semiHidden/>
    <w:pPr>
      <w:spacing w:before="0"/>
    </w:pPr>
    <w:rPr>
      <w:rFonts w:ascii="Times New Roman" w:hAnsi="Times New Roman"/>
      <w:szCs w:val="26"/>
    </w:rPr>
  </w:style>
  <w:style w:type="paragraph" w:styleId="Verzeichnis9">
    <w:name w:val="toc 9"/>
    <w:basedOn w:val="Standard"/>
    <w:next w:val="Standard"/>
    <w:autoRedefine/>
    <w:semiHidden/>
    <w:pPr>
      <w:spacing w:before="0"/>
    </w:pPr>
    <w:rPr>
      <w:rFonts w:ascii="Times New Roman" w:hAnsi="Times New Roman"/>
      <w:szCs w:val="26"/>
    </w:rPr>
  </w:style>
  <w:style w:type="character" w:styleId="Hyperlink">
    <w:name w:val="Hyperlink"/>
    <w:basedOn w:val="Absatz-Standardschriftart"/>
    <w:rsid w:val="007B703E"/>
    <w:rPr>
      <w:rFonts w:ascii="Segoe UI" w:hAnsi="Segoe UI"/>
      <w:color w:val="000000" w:themeColor="text1"/>
      <w:sz w:val="19"/>
      <w:u w:val="none"/>
    </w:rPr>
  </w:style>
  <w:style w:type="table" w:customStyle="1" w:styleId="Standardtabelle">
    <w:name w:val="Standardtabelle"/>
    <w:basedOn w:val="NormaleTabelle"/>
    <w:rsid w:val="002747DC"/>
    <w:rPr>
      <w:rFonts w:ascii="Arial Narrow" w:hAnsi="Arial Narrow"/>
    </w:rPr>
    <w:tblPr>
      <w:tblBorders>
        <w:top w:val="single" w:sz="4" w:space="0" w:color="46166B"/>
        <w:bottom w:val="single" w:sz="4" w:space="0" w:color="46166B"/>
      </w:tblBorders>
    </w:tblPr>
  </w:style>
  <w:style w:type="paragraph" w:styleId="Abbildungsverzeichnis">
    <w:name w:val="table of figures"/>
    <w:basedOn w:val="Standard"/>
    <w:next w:val="Standard"/>
    <w:semiHidden/>
    <w:pPr>
      <w:spacing w:before="120"/>
      <w:ind w:left="403" w:hanging="403"/>
    </w:pPr>
  </w:style>
  <w:style w:type="paragraph" w:customStyle="1" w:styleId="Organigramm">
    <w:name w:val="Organigramm"/>
    <w:pPr>
      <w:spacing w:before="120"/>
      <w:ind w:left="851"/>
      <w:jc w:val="center"/>
    </w:pPr>
    <w:rPr>
      <w:rFonts w:ascii="Arial" w:hAnsi="Arial"/>
      <w:lang w:eastAsia="en-US"/>
    </w:rPr>
  </w:style>
  <w:style w:type="paragraph" w:customStyle="1" w:styleId="TblofContent">
    <w:name w:val="Tbl_of_Content"/>
    <w:next w:val="Standard"/>
    <w:rsid w:val="00BF5554"/>
    <w:pPr>
      <w:spacing w:before="360" w:after="240"/>
    </w:pPr>
    <w:rPr>
      <w:rFonts w:ascii="Arial" w:hAnsi="Arial"/>
      <w:b/>
      <w:color w:val="000000"/>
      <w:sz w:val="24"/>
      <w:lang w:val="en-GB" w:eastAsia="en-US"/>
    </w:rPr>
  </w:style>
  <w:style w:type="table" w:styleId="Tabellenraster">
    <w:name w:val="Table Grid"/>
    <w:basedOn w:val="NormaleTabelle"/>
    <w:rsid w:val="002747DC"/>
    <w:pPr>
      <w:spacing w:befor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weis">
    <w:name w:val="Hinweis"/>
    <w:basedOn w:val="Standard"/>
    <w:qFormat/>
    <w:rsid w:val="00AC70B1"/>
    <w:pPr>
      <w:pBdr>
        <w:top w:val="single" w:sz="48" w:space="8" w:color="EBF1F6"/>
        <w:left w:val="single" w:sz="48" w:space="8" w:color="EBF1F6"/>
        <w:bottom w:val="single" w:sz="48" w:space="8" w:color="EBF1F6"/>
        <w:right w:val="single" w:sz="48" w:space="8" w:color="EBF1F6"/>
      </w:pBdr>
      <w:shd w:val="clear" w:color="auto" w:fill="EBF1F6"/>
      <w:ind w:left="284" w:right="284"/>
    </w:pPr>
  </w:style>
  <w:style w:type="table" w:customStyle="1" w:styleId="DATEVTabelle">
    <w:name w:val="DATEV Tabelle"/>
    <w:basedOn w:val="NormaleTabelle"/>
    <w:rsid w:val="008950BF"/>
    <w:pPr>
      <w:spacing w:before="60" w:after="60"/>
      <w:jc w:val="center"/>
    </w:pPr>
    <w:rPr>
      <w:rFonts w:ascii="Segoe UI" w:hAnsi="Segoe UI"/>
      <w:color w:val="000000" w:themeColor="text1"/>
      <w:sz w:val="15"/>
    </w:rPr>
    <w:tblPr>
      <w:tblStyleRowBandSize w:val="1"/>
      <w:tblBorders>
        <w:insideH w:val="single" w:sz="2" w:space="0" w:color="999999"/>
        <w:insideV w:val="single" w:sz="4" w:space="0" w:color="FFFFFF" w:themeColor="background1"/>
      </w:tblBorders>
    </w:tblPr>
    <w:tcPr>
      <w:shd w:val="clear" w:color="auto" w:fill="F4F2EE"/>
      <w:vAlign w:val="center"/>
    </w:tcPr>
    <w:tblStylePr w:type="firstRow">
      <w:tblPr/>
      <w:tcPr>
        <w:shd w:val="clear" w:color="auto" w:fill="005187"/>
      </w:tcPr>
    </w:tblStylePr>
    <w:tblStylePr w:type="firstCol">
      <w:pPr>
        <w:jc w:val="left"/>
      </w:pPr>
    </w:tblStylePr>
    <w:tblStylePr w:type="band1Horz">
      <w:tblPr/>
      <w:tcPr>
        <w:shd w:val="clear" w:color="auto" w:fill="F4F2EE"/>
      </w:tcPr>
    </w:tblStylePr>
  </w:style>
  <w:style w:type="paragraph" w:styleId="Funotentext">
    <w:name w:val="footnote text"/>
    <w:basedOn w:val="Standard"/>
    <w:link w:val="FunotentextZchn"/>
    <w:rsid w:val="001435B4"/>
    <w:pPr>
      <w:keepLines/>
      <w:tabs>
        <w:tab w:val="left" w:pos="142"/>
      </w:tabs>
      <w:spacing w:before="0" w:line="240" w:lineRule="auto"/>
      <w:ind w:left="142" w:hanging="142"/>
    </w:pPr>
    <w:rPr>
      <w:sz w:val="15"/>
      <w:szCs w:val="20"/>
    </w:rPr>
  </w:style>
  <w:style w:type="paragraph" w:customStyle="1" w:styleId="header2black">
    <w:name w:val="header_2 black"/>
    <w:basedOn w:val="Standard"/>
    <w:rsid w:val="00BF5554"/>
    <w:rPr>
      <w:rFonts w:ascii="Arial Black" w:hAnsi="Arial Black"/>
      <w:noProof/>
      <w:sz w:val="24"/>
      <w:lang w:val="en-US"/>
    </w:rPr>
  </w:style>
  <w:style w:type="paragraph" w:customStyle="1" w:styleId="Titel1lila">
    <w:name w:val="Titel_1_lila"/>
    <w:basedOn w:val="Standard"/>
    <w:rsid w:val="005F0C77"/>
    <w:pPr>
      <w:spacing w:before="3020" w:line="360" w:lineRule="auto"/>
      <w:ind w:left="851"/>
    </w:pPr>
    <w:rPr>
      <w:b/>
      <w:bCs/>
      <w:color w:val="46166B"/>
      <w:sz w:val="32"/>
      <w:szCs w:val="20"/>
    </w:rPr>
  </w:style>
  <w:style w:type="paragraph" w:customStyle="1" w:styleId="Titel2Black">
    <w:name w:val="Titel_2_Black"/>
    <w:basedOn w:val="Standard"/>
    <w:link w:val="Titel2BlackChar"/>
    <w:rsid w:val="005F0C77"/>
    <w:pPr>
      <w:spacing w:before="0"/>
      <w:ind w:left="851"/>
    </w:pPr>
    <w:rPr>
      <w:rFonts w:ascii="Arial Black" w:hAnsi="Arial Black"/>
      <w:sz w:val="48"/>
      <w:szCs w:val="20"/>
    </w:rPr>
  </w:style>
  <w:style w:type="character" w:customStyle="1" w:styleId="Titel2BlackChar">
    <w:name w:val="Titel_2_Black Char"/>
    <w:basedOn w:val="Absatz-Standardschriftart"/>
    <w:link w:val="Titel2Black"/>
    <w:rsid w:val="000E6A9F"/>
    <w:rPr>
      <w:rFonts w:ascii="Arial Black" w:hAnsi="Arial Black"/>
      <w:color w:val="000000"/>
      <w:sz w:val="48"/>
      <w:lang w:val="en-GB" w:eastAsia="en-US" w:bidi="ar-SA"/>
    </w:rPr>
  </w:style>
  <w:style w:type="character" w:customStyle="1" w:styleId="FunotentextZchn">
    <w:name w:val="Fußnotentext Zchn"/>
    <w:basedOn w:val="Absatz-Standardschriftart"/>
    <w:link w:val="Funotentext"/>
    <w:rsid w:val="001435B4"/>
    <w:rPr>
      <w:rFonts w:ascii="Segoe UI" w:hAnsi="Segoe UI"/>
      <w:color w:val="000000"/>
      <w:sz w:val="15"/>
      <w:lang w:val="en-GB" w:eastAsia="en-US"/>
    </w:rPr>
  </w:style>
  <w:style w:type="character" w:styleId="Funotenzeichen">
    <w:name w:val="footnote reference"/>
    <w:basedOn w:val="Absatz-Standardschriftart"/>
    <w:rsid w:val="00613532"/>
    <w:rPr>
      <w:vertAlign w:val="superscript"/>
    </w:rPr>
  </w:style>
  <w:style w:type="paragraph" w:customStyle="1" w:styleId="Impressum">
    <w:name w:val="Impressum"/>
    <w:basedOn w:val="Hinweis"/>
    <w:qFormat/>
    <w:rsid w:val="00633F0F"/>
    <w:rPr>
      <w:sz w:val="15"/>
      <w:szCs w:val="15"/>
      <w:lang w:val="de-DE"/>
    </w:rPr>
  </w:style>
  <w:style w:type="character" w:styleId="NichtaufgelsteErwhnung">
    <w:name w:val="Unresolved Mention"/>
    <w:basedOn w:val="Absatz-Standardschriftart"/>
    <w:uiPriority w:val="99"/>
    <w:semiHidden/>
    <w:unhideWhenUsed/>
    <w:rsid w:val="00BD311F"/>
    <w:rPr>
      <w:color w:val="605E5C"/>
      <w:shd w:val="clear" w:color="auto" w:fill="E1DFDD"/>
    </w:rPr>
  </w:style>
  <w:style w:type="paragraph" w:customStyle="1" w:styleId="Kanzlei">
    <w:name w:val="Kanzlei"/>
    <w:basedOn w:val="Standard"/>
    <w:qFormat/>
    <w:rsid w:val="003B080D"/>
    <w:pPr>
      <w:spacing w:before="0"/>
      <w:jc w:val="right"/>
    </w:pPr>
    <w:rPr>
      <w:lang w:val="de-DE"/>
    </w:rPr>
  </w:style>
  <w:style w:type="paragraph" w:customStyle="1" w:styleId="KanzleiErsteZeile">
    <w:name w:val="Kanzlei Erste Zeile"/>
    <w:basedOn w:val="Kanzlei"/>
    <w:qFormat/>
    <w:rsid w:val="00021F2A"/>
    <w:rPr>
      <w:b/>
      <w:color w:val="005187"/>
    </w:rPr>
  </w:style>
  <w:style w:type="paragraph" w:customStyle="1" w:styleId="HinweisFett">
    <w:name w:val="Hinweis Fett"/>
    <w:basedOn w:val="Hinweis"/>
    <w:next w:val="Hinweis"/>
    <w:qFormat/>
    <w:rsid w:val="00AC0167"/>
    <w:rPr>
      <w:rFonts w:ascii="Segoe UI Semibold" w:hAnsi="Segoe UI Semibold"/>
      <w:color w:val="005187" w:themeColor="text2"/>
      <w:lang w:val="de-DE"/>
    </w:rPr>
  </w:style>
  <w:style w:type="paragraph" w:customStyle="1" w:styleId="ImpressumFett">
    <w:name w:val="Impressum Fett"/>
    <w:basedOn w:val="HinweisFett"/>
    <w:next w:val="Impressum"/>
    <w:qFormat/>
    <w:rsid w:val="00E87470"/>
    <w:rPr>
      <w:sz w:val="15"/>
      <w:szCs w:val="15"/>
    </w:rPr>
  </w:style>
  <w:style w:type="paragraph" w:styleId="Listenabsatz">
    <w:name w:val="List Paragraph"/>
    <w:basedOn w:val="Standard"/>
    <w:uiPriority w:val="34"/>
    <w:rsid w:val="000D26CD"/>
    <w:pPr>
      <w:numPr>
        <w:numId w:val="17"/>
      </w:numPr>
      <w:ind w:left="227" w:hanging="227"/>
      <w:contextualSpacing/>
    </w:pPr>
  </w:style>
  <w:style w:type="paragraph" w:customStyle="1" w:styleId="Aufzhlung">
    <w:name w:val="Aufzählung"/>
    <w:basedOn w:val="Listenabsatz"/>
    <w:qFormat/>
    <w:rsid w:val="00A66C4B"/>
    <w:pPr>
      <w:numPr>
        <w:numId w:val="19"/>
      </w:numPr>
    </w:pPr>
    <w:rPr>
      <w:lang w:val="de-DE"/>
    </w:rPr>
  </w:style>
  <w:style w:type="paragraph" w:customStyle="1" w:styleId="HinweisAufzhlung">
    <w:name w:val="Hinweis Aufzählung"/>
    <w:basedOn w:val="Hinweis"/>
    <w:qFormat/>
    <w:rsid w:val="00AA39BB"/>
    <w:pPr>
      <w:numPr>
        <w:numId w:val="20"/>
      </w:numPr>
      <w:ind w:left="567" w:hanging="283"/>
    </w:pPr>
  </w:style>
  <w:style w:type="paragraph" w:customStyle="1" w:styleId="Anschreiben">
    <w:name w:val="Anschreiben"/>
    <w:basedOn w:val="Standard"/>
    <w:link w:val="AnschreibenZchn"/>
    <w:qFormat/>
    <w:rsid w:val="00AB3BD0"/>
    <w:pPr>
      <w:spacing w:before="0" w:after="200" w:line="276" w:lineRule="auto"/>
      <w:ind w:left="284"/>
    </w:pPr>
    <w:rPr>
      <w:rFonts w:eastAsia="Frutiger Next Com Light" w:cs="Frutiger Next Com Light"/>
      <w:color w:val="231F20"/>
      <w:sz w:val="21"/>
      <w:szCs w:val="22"/>
      <w:lang w:val="de-DE" w:eastAsia="de-DE" w:bidi="de-DE"/>
    </w:rPr>
  </w:style>
  <w:style w:type="character" w:customStyle="1" w:styleId="AnschreibenZchn">
    <w:name w:val="Anschreiben Zchn"/>
    <w:basedOn w:val="Absatz-Standardschriftart"/>
    <w:link w:val="Anschreiben"/>
    <w:rsid w:val="00AB3BD0"/>
    <w:rPr>
      <w:rFonts w:ascii="Segoe UI" w:eastAsia="Frutiger Next Com Light" w:hAnsi="Segoe UI" w:cs="Frutiger Next Com Light"/>
      <w:color w:val="231F20"/>
      <w:sz w:val="21"/>
      <w:szCs w:val="22"/>
      <w:lang w:bidi="de-DE"/>
    </w:rPr>
  </w:style>
  <w:style w:type="paragraph" w:customStyle="1" w:styleId="Fliesstextlight1113pt">
    <w:name w:val="Fliesstext (light 11/13 pt)"/>
    <w:basedOn w:val="Standard"/>
    <w:uiPriority w:val="99"/>
    <w:rsid w:val="00C150D6"/>
    <w:pPr>
      <w:autoSpaceDE w:val="0"/>
      <w:autoSpaceDN w:val="0"/>
      <w:adjustRightInd w:val="0"/>
      <w:spacing w:before="0" w:line="260" w:lineRule="atLeast"/>
      <w:textAlignment w:val="center"/>
    </w:pPr>
    <w:rPr>
      <w:rFonts w:ascii="Compatil T DATEV" w:eastAsiaTheme="minorHAnsi" w:hAnsi="Compatil T DATEV" w:cs="Compatil T DATEV"/>
      <w:spacing w:val="2"/>
      <w:sz w:val="21"/>
      <w:szCs w:val="21"/>
      <w:lang w:val="de-DE"/>
    </w:rPr>
  </w:style>
  <w:style w:type="paragraph" w:customStyle="1" w:styleId="StandardersteSeite">
    <w:name w:val="Standard erste Seite"/>
    <w:basedOn w:val="Standard"/>
    <w:qFormat/>
    <w:rsid w:val="006F0BF5"/>
    <w:rPr>
      <w:lang w:val="de-DE"/>
    </w:rPr>
  </w:style>
  <w:style w:type="paragraph" w:customStyle="1" w:styleId="LISTE">
    <w:name w:val="LISTE"/>
    <w:basedOn w:val="Textkrper"/>
    <w:link w:val="LISTEZchn"/>
    <w:qFormat/>
    <w:rsid w:val="007E4B1E"/>
    <w:pPr>
      <w:widowControl w:val="0"/>
      <w:numPr>
        <w:numId w:val="22"/>
      </w:numPr>
      <w:autoSpaceDE w:val="0"/>
      <w:autoSpaceDN w:val="0"/>
      <w:spacing w:before="0" w:after="113" w:line="260" w:lineRule="exact"/>
      <w:ind w:left="360"/>
      <w:jc w:val="both"/>
    </w:pPr>
    <w:rPr>
      <w:rFonts w:eastAsia="Frutiger Next Com Light" w:cs="Frutiger Next Com Light"/>
      <w:color w:val="auto"/>
      <w:sz w:val="21"/>
      <w:szCs w:val="22"/>
      <w:lang w:val="de-DE" w:eastAsia="de-DE" w:bidi="de-DE"/>
    </w:rPr>
  </w:style>
  <w:style w:type="character" w:customStyle="1" w:styleId="LISTEZchn">
    <w:name w:val="LISTE Zchn"/>
    <w:basedOn w:val="Absatz-Standardschriftart"/>
    <w:link w:val="LISTE"/>
    <w:rsid w:val="007E4B1E"/>
    <w:rPr>
      <w:rFonts w:ascii="Segoe UI" w:eastAsia="Frutiger Next Com Light" w:hAnsi="Segoe UI" w:cs="Frutiger Next Com Light"/>
      <w:sz w:val="21"/>
      <w:szCs w:val="22"/>
      <w:lang w:bidi="de-DE"/>
    </w:rPr>
  </w:style>
  <w:style w:type="paragraph" w:customStyle="1" w:styleId="LISTE2">
    <w:name w:val="LISTE_2"/>
    <w:basedOn w:val="LISTE"/>
    <w:qFormat/>
    <w:rsid w:val="007E4B1E"/>
    <w:pPr>
      <w:numPr>
        <w:ilvl w:val="1"/>
      </w:numPr>
      <w:tabs>
        <w:tab w:val="num" w:pos="1080"/>
      </w:tabs>
      <w:ind w:left="567" w:hanging="227"/>
    </w:pPr>
  </w:style>
  <w:style w:type="paragraph" w:customStyle="1" w:styleId="Funote">
    <w:name w:val="Fußnote"/>
    <w:basedOn w:val="Standard"/>
    <w:link w:val="FunoteZchn"/>
    <w:qFormat/>
    <w:rsid w:val="007E4B1E"/>
    <w:pPr>
      <w:numPr>
        <w:numId w:val="23"/>
      </w:numPr>
      <w:spacing w:before="60" w:after="200" w:line="276" w:lineRule="auto"/>
      <w:ind w:left="568" w:hanging="284"/>
      <w:contextualSpacing/>
      <w:jc w:val="both"/>
    </w:pPr>
    <w:rPr>
      <w:rFonts w:eastAsia="Calibri" w:cs="Segoe UI"/>
      <w:color w:val="auto"/>
      <w:sz w:val="16"/>
      <w:szCs w:val="16"/>
      <w:lang w:val="de-DE"/>
    </w:rPr>
  </w:style>
  <w:style w:type="paragraph" w:styleId="Textkrper">
    <w:name w:val="Body Text"/>
    <w:basedOn w:val="Standard"/>
    <w:link w:val="TextkrperZchn"/>
    <w:rsid w:val="007E4B1E"/>
    <w:pPr>
      <w:spacing w:after="120"/>
    </w:pPr>
  </w:style>
  <w:style w:type="character" w:customStyle="1" w:styleId="TextkrperZchn">
    <w:name w:val="Textkörper Zchn"/>
    <w:basedOn w:val="Absatz-Standardschriftart"/>
    <w:link w:val="Textkrper"/>
    <w:rsid w:val="007E4B1E"/>
    <w:rPr>
      <w:rFonts w:ascii="Segoe UI" w:hAnsi="Segoe UI"/>
      <w:color w:val="000000"/>
      <w:szCs w:val="24"/>
      <w:lang w:val="en-GB" w:eastAsia="en-US"/>
    </w:rPr>
  </w:style>
  <w:style w:type="character" w:customStyle="1" w:styleId="FunoteZchn">
    <w:name w:val="Fußnote Zchn"/>
    <w:basedOn w:val="Absatz-Standardschriftart"/>
    <w:link w:val="Funote"/>
    <w:rsid w:val="00B62354"/>
    <w:rPr>
      <w:rFonts w:ascii="Segoe UI" w:eastAsia="Calibri" w:hAnsi="Segoe UI" w:cs="Segoe UI"/>
      <w:sz w:val="16"/>
      <w:szCs w:val="16"/>
      <w:lang w:eastAsia="en-US"/>
    </w:rPr>
  </w:style>
  <w:style w:type="character" w:customStyle="1" w:styleId="berschrift1Zchn">
    <w:name w:val="Überschrift 1 Zchn"/>
    <w:basedOn w:val="Absatz-Standardschriftart"/>
    <w:link w:val="berschrift1"/>
    <w:rsid w:val="00253695"/>
    <w:rPr>
      <w:rFonts w:ascii="Segoe UI Semibold" w:hAnsi="Segoe UI Semibold" w:cs="Arial"/>
      <w:bCs/>
      <w:color w:val="6697B7"/>
      <w:kern w:val="32"/>
      <w:szCs w:val="24"/>
      <w:lang w:val="en-GB" w:eastAsia="en-US"/>
    </w:rPr>
  </w:style>
  <w:style w:type="character" w:customStyle="1" w:styleId="berschrift2Zchn">
    <w:name w:val="Überschrift 2 Zchn"/>
    <w:basedOn w:val="Absatz-Standardschriftart"/>
    <w:link w:val="berschrift2"/>
    <w:rsid w:val="00253695"/>
    <w:rPr>
      <w:rFonts w:ascii="Segoe UI Semibold" w:hAnsi="Segoe UI Semibold" w:cs="Arial"/>
      <w:bCs/>
      <w:iCs/>
      <w:color w:val="005187"/>
      <w:sz w:val="26"/>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0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4.svg"/></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svg"/><Relationship Id="rId4" Type="http://schemas.openxmlformats.org/officeDocument/2006/relationships/image" Target="media/image9.png"/></Relationships>
</file>

<file path=word/theme/theme1.xml><?xml version="1.0" encoding="utf-8"?>
<a:theme xmlns:a="http://schemas.openxmlformats.org/drawingml/2006/main" name="Office">
  <a:themeElements>
    <a:clrScheme name="DATEV MMI">
      <a:dk1>
        <a:sysClr val="windowText" lastClr="000000"/>
      </a:dk1>
      <a:lt1>
        <a:sysClr val="window" lastClr="FFFFFF"/>
      </a:lt1>
      <a:dk2>
        <a:srgbClr val="005187"/>
      </a:dk2>
      <a:lt2>
        <a:srgbClr val="F4F2EE"/>
      </a:lt2>
      <a:accent1>
        <a:srgbClr val="FCFBFA"/>
      </a:accent1>
      <a:accent2>
        <a:srgbClr val="99B9CF"/>
      </a:accent2>
      <a:accent3>
        <a:srgbClr val="EBF1F6"/>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C9DE962B8B8741AE25639C9817C786" ma:contentTypeVersion="18" ma:contentTypeDescription="Ein neues Dokument erstellen." ma:contentTypeScope="" ma:versionID="fba5d3b3cb20debfc6cadb43e7e8d696">
  <xsd:schema xmlns:xsd="http://www.w3.org/2001/XMLSchema" xmlns:xs="http://www.w3.org/2001/XMLSchema" xmlns:p="http://schemas.microsoft.com/office/2006/metadata/properties" xmlns:ns2="2904c4a3-2962-4ea0-ab5d-2ffa07a1e2c0" xmlns:ns3="71facc6b-5b11-4a3d-9dda-f7b80cecb517" targetNamespace="http://schemas.microsoft.com/office/2006/metadata/properties" ma:root="true" ma:fieldsID="f2d8f615527c2bb6f75c87b829a38aeb" ns2:_="" ns3:_="">
    <xsd:import namespace="2904c4a3-2962-4ea0-ab5d-2ffa07a1e2c0"/>
    <xsd:import namespace="71facc6b-5b11-4a3d-9dda-f7b80cecb5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4c4a3-2962-4ea0-ab5d-2ffa07a1e2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88023ca-a7e6-41a5-8a9e-48173f2de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cc6b-5b11-4a3d-9dda-f7b80cecb51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5d69ffd-91e2-49ec-9e9a-0600487c9f17}" ma:internalName="TaxCatchAll" ma:showField="CatchAllData" ma:web="71facc6b-5b11-4a3d-9dda-f7b80cec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facc6b-5b11-4a3d-9dda-f7b80cecb517" xsi:nil="true"/>
    <lcf76f155ced4ddcb4097134ff3c332f xmlns="2904c4a3-2962-4ea0-ab5d-2ffa07a1e2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DA8DA2-F988-4884-9CE2-100F8DCE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4c4a3-2962-4ea0-ab5d-2ffa07a1e2c0"/>
    <ds:schemaRef ds:uri="71facc6b-5b11-4a3d-9dda-f7b80cec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1FE74-7C03-4B0C-A322-112D2551C6F4}">
  <ds:schemaRefs>
    <ds:schemaRef ds:uri="http://schemas.microsoft.com/sharepoint/v3/contenttype/forms"/>
  </ds:schemaRefs>
</ds:datastoreItem>
</file>

<file path=customXml/itemProps3.xml><?xml version="1.0" encoding="utf-8"?>
<ds:datastoreItem xmlns:ds="http://schemas.openxmlformats.org/officeDocument/2006/customXml" ds:itemID="{1F8229E1-C503-4200-82CC-D6525F13C7CB}">
  <ds:schemaRefs>
    <ds:schemaRef ds:uri="http://schemas.openxmlformats.org/officeDocument/2006/bibliography"/>
  </ds:schemaRefs>
</ds:datastoreItem>
</file>

<file path=customXml/itemProps4.xml><?xml version="1.0" encoding="utf-8"?>
<ds:datastoreItem xmlns:ds="http://schemas.openxmlformats.org/officeDocument/2006/customXml" ds:itemID="{74AE7AAA-97D1-44C2-ABD1-B9424329B914}">
  <ds:schemaRefs>
    <ds:schemaRef ds:uri="http://schemas.microsoft.com/office/2006/metadata/properties"/>
    <ds:schemaRef ds:uri="http://schemas.microsoft.com/office/infopath/2007/PartnerControls"/>
    <ds:schemaRef ds:uri="71facc6b-5b11-4a3d-9dda-f7b80cecb517"/>
    <ds:schemaRef ds:uri="2904c4a3-2962-4ea0-ab5d-2ffa07a1e2c0"/>
  </ds:schemaRefs>
</ds:datastoreItem>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3429</Words>
  <Characters>24067</Characters>
  <Application>Microsoft Office Word</Application>
  <DocSecurity>0</DocSecurity>
  <Lines>200</Lines>
  <Paragraphs>54</Paragraphs>
  <ScaleCrop>false</ScaleCrop>
  <HeadingPairs>
    <vt:vector size="2" baseType="variant">
      <vt:variant>
        <vt:lpstr>Titel</vt:lpstr>
      </vt:variant>
      <vt:variant>
        <vt:i4>1</vt:i4>
      </vt:variant>
    </vt:vector>
  </HeadingPairs>
  <TitlesOfParts>
    <vt:vector size="1" baseType="lpstr">
      <vt:lpstr>Template</vt:lpstr>
    </vt:vector>
  </TitlesOfParts>
  <Company>Siemens AG</Company>
  <LinksUpToDate>false</LinksUpToDate>
  <CharactersWithSpaces>27442</CharactersWithSpaces>
  <SharedDoc>false</SharedDoc>
  <HLinks>
    <vt:vector size="24" baseType="variant">
      <vt:variant>
        <vt:i4>1376317</vt:i4>
      </vt:variant>
      <vt:variant>
        <vt:i4>56</vt:i4>
      </vt:variant>
      <vt:variant>
        <vt:i4>0</vt:i4>
      </vt:variant>
      <vt:variant>
        <vt:i4>5</vt:i4>
      </vt:variant>
      <vt:variant>
        <vt:lpwstr/>
      </vt:variant>
      <vt:variant>
        <vt:lpwstr>_Toc168478388</vt:lpwstr>
      </vt:variant>
      <vt:variant>
        <vt:i4>1376317</vt:i4>
      </vt:variant>
      <vt:variant>
        <vt:i4>50</vt:i4>
      </vt:variant>
      <vt:variant>
        <vt:i4>0</vt:i4>
      </vt:variant>
      <vt:variant>
        <vt:i4>5</vt:i4>
      </vt:variant>
      <vt:variant>
        <vt:lpwstr/>
      </vt:variant>
      <vt:variant>
        <vt:lpwstr>_Toc168478387</vt:lpwstr>
      </vt:variant>
      <vt:variant>
        <vt:i4>1376317</vt:i4>
      </vt:variant>
      <vt:variant>
        <vt:i4>44</vt:i4>
      </vt:variant>
      <vt:variant>
        <vt:i4>0</vt:i4>
      </vt:variant>
      <vt:variant>
        <vt:i4>5</vt:i4>
      </vt:variant>
      <vt:variant>
        <vt:lpwstr/>
      </vt:variant>
      <vt:variant>
        <vt:lpwstr>_Toc168478386</vt:lpwstr>
      </vt:variant>
      <vt:variant>
        <vt:i4>1179705</vt:i4>
      </vt:variant>
      <vt:variant>
        <vt:i4>35</vt:i4>
      </vt:variant>
      <vt:variant>
        <vt:i4>0</vt:i4>
      </vt:variant>
      <vt:variant>
        <vt:i4>5</vt:i4>
      </vt:variant>
      <vt:variant>
        <vt:lpwstr/>
      </vt:variant>
      <vt:variant>
        <vt:lpwstr>_Toc168390900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Mandatenmonatsinformation Template</dc:subject>
  <dc:creator>DATEV eG</dc:creator>
  <cp:keywords/>
  <dc:description>Template build by TIANBERLIN</dc:description>
  <cp:lastModifiedBy>Schneeweis, Steffen</cp:lastModifiedBy>
  <cp:revision>5</cp:revision>
  <cp:lastPrinted>2024-07-16T10:30:00Z</cp:lastPrinted>
  <dcterms:created xsi:type="dcterms:W3CDTF">2024-07-15T10:11:00Z</dcterms:created>
  <dcterms:modified xsi:type="dcterms:W3CDTF">2024-07-16T10:30:00Z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0x0101003DC9DE962B8B8741AE25639C9817C786</vt:lpwstr>
  </property>
  <property fmtid="{D5CDD505-2E9C-101B-9397-08002B2CF9AE}" pid="4" name="ClassificationContentMarkingFooterShapeIds">
    <vt:lpwstr>3,4,5</vt:lpwstr>
  </property>
  <property fmtid="{D5CDD505-2E9C-101B-9397-08002B2CF9AE}" pid="5" name="ClassificationContentMarkingFooterFontProps">
    <vt:lpwstr>#000000,8,Calibri</vt:lpwstr>
  </property>
  <property fmtid="{D5CDD505-2E9C-101B-9397-08002B2CF9AE}" pid="6" name="ClassificationContentMarkingFooterText">
    <vt:lpwstr>– Intern –</vt:lpwstr>
  </property>
</Properties>
</file>